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49456" w14:textId="77777777" w:rsidR="00B54D16" w:rsidRDefault="00D246AA" w:rsidP="00B650DC">
      <w:pPr>
        <w:ind w:right="-180"/>
      </w:pPr>
      <w:r w:rsidRPr="00B7524B">
        <w:rPr>
          <w:noProof/>
          <w:lang w:eastAsia="en-GB"/>
        </w:rPr>
        <mc:AlternateContent>
          <mc:Choice Requires="wps">
            <w:drawing>
              <wp:anchor distT="0" distB="0" distL="114300" distR="114300" simplePos="0" relativeHeight="251657728" behindDoc="0" locked="0" layoutInCell="1" allowOverlap="1" wp14:anchorId="60041D28" wp14:editId="1D684DCD">
                <wp:simplePos x="0" y="0"/>
                <wp:positionH relativeFrom="column">
                  <wp:posOffset>-109855</wp:posOffset>
                </wp:positionH>
                <wp:positionV relativeFrom="paragraph">
                  <wp:posOffset>-433070</wp:posOffset>
                </wp:positionV>
                <wp:extent cx="6829425" cy="13589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9425" cy="135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8877E" w14:textId="7B2B5B2E" w:rsidR="00A56EB4" w:rsidRPr="00556DF7" w:rsidRDefault="00A56EB4" w:rsidP="00174431">
                            <w:pPr>
                              <w:pStyle w:val="Heading1"/>
                              <w:spacing w:before="120"/>
                              <w:rPr>
                                <w:color w:val="001E62"/>
                                <w:sz w:val="72"/>
                                <w:szCs w:val="72"/>
                              </w:rPr>
                            </w:pPr>
                            <w:r w:rsidRPr="00556DF7">
                              <w:rPr>
                                <w:color w:val="001E62"/>
                                <w:sz w:val="72"/>
                                <w:szCs w:val="72"/>
                              </w:rPr>
                              <w:t xml:space="preserve">Road </w:t>
                            </w:r>
                            <w:r w:rsidR="0087302D" w:rsidRPr="00556DF7">
                              <w:rPr>
                                <w:color w:val="001E62"/>
                                <w:sz w:val="72"/>
                                <w:szCs w:val="72"/>
                              </w:rPr>
                              <w:t>s</w:t>
                            </w:r>
                            <w:r w:rsidRPr="00556DF7">
                              <w:rPr>
                                <w:color w:val="001E62"/>
                                <w:sz w:val="72"/>
                                <w:szCs w:val="72"/>
                              </w:rPr>
                              <w:t xml:space="preserve">afety </w:t>
                            </w:r>
                            <w:r w:rsidR="0087302D" w:rsidRPr="00556DF7">
                              <w:rPr>
                                <w:color w:val="001E62"/>
                                <w:sz w:val="72"/>
                                <w:szCs w:val="72"/>
                              </w:rPr>
                              <w:t>f</w:t>
                            </w:r>
                            <w:r w:rsidRPr="00556DF7">
                              <w:rPr>
                                <w:color w:val="001E62"/>
                                <w:sz w:val="72"/>
                                <w:szCs w:val="72"/>
                              </w:rPr>
                              <w:t>actsheet</w:t>
                            </w:r>
                            <w:r w:rsidR="0087302D" w:rsidRPr="00556DF7">
                              <w:rPr>
                                <w:color w:val="001E62"/>
                                <w:sz w:val="72"/>
                                <w:szCs w:val="72"/>
                              </w:rPr>
                              <w:t xml:space="preserve">: Cycling </w:t>
                            </w:r>
                            <w:r w:rsidR="00556DF7">
                              <w:rPr>
                                <w:color w:val="001E62"/>
                                <w:sz w:val="72"/>
                                <w:szCs w:val="72"/>
                              </w:rPr>
                              <w:t>a</w:t>
                            </w:r>
                            <w:r w:rsidR="0087302D" w:rsidRPr="00556DF7">
                              <w:rPr>
                                <w:color w:val="001E62"/>
                                <w:sz w:val="72"/>
                                <w:szCs w:val="72"/>
                              </w:rPr>
                              <w:t>ccidents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041D28" id="_x0000_t202" coordsize="21600,21600" o:spt="202" path="m,l,21600r21600,l21600,xe">
                <v:stroke joinstyle="miter"/>
                <v:path gradientshapeok="t" o:connecttype="rect"/>
              </v:shapetype>
              <v:shape id="Text Box 2" o:spid="_x0000_s1026" type="#_x0000_t202" style="position:absolute;left:0;text-align:left;margin-left:-8.65pt;margin-top:-34.1pt;width:537.75pt;height:1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" stroked="f">
                <v:path arrowok="t"/>
                <v:textbox>
                  <w:txbxContent>
                    <w:p w14:paraId="3D78877E" w14:textId="7B2B5B2E" w:rsidR="00A56EB4" w:rsidRPr="00556DF7" w:rsidRDefault="00A56EB4" w:rsidP="00174431">
                      <w:pPr>
                        <w:pStyle w:val="Heading1"/>
                        <w:spacing w:before="120"/>
                        <w:rPr>
                          <w:color w:val="001E62"/>
                          <w:sz w:val="72"/>
                          <w:szCs w:val="72"/>
                        </w:rPr>
                      </w:pPr>
                      <w:r w:rsidRPr="00556DF7">
                        <w:rPr>
                          <w:color w:val="001E62"/>
                          <w:sz w:val="72"/>
                          <w:szCs w:val="72"/>
                        </w:rPr>
                        <w:t xml:space="preserve">Road </w:t>
                      </w:r>
                      <w:r w:rsidR="0087302D" w:rsidRPr="00556DF7">
                        <w:rPr>
                          <w:color w:val="001E62"/>
                          <w:sz w:val="72"/>
                          <w:szCs w:val="72"/>
                        </w:rPr>
                        <w:t>s</w:t>
                      </w:r>
                      <w:r w:rsidRPr="00556DF7">
                        <w:rPr>
                          <w:color w:val="001E62"/>
                          <w:sz w:val="72"/>
                          <w:szCs w:val="72"/>
                        </w:rPr>
                        <w:t xml:space="preserve">afety </w:t>
                      </w:r>
                      <w:r w:rsidR="0087302D" w:rsidRPr="00556DF7">
                        <w:rPr>
                          <w:color w:val="001E62"/>
                          <w:sz w:val="72"/>
                          <w:szCs w:val="72"/>
                        </w:rPr>
                        <w:t>f</w:t>
                      </w:r>
                      <w:r w:rsidRPr="00556DF7">
                        <w:rPr>
                          <w:color w:val="001E62"/>
                          <w:sz w:val="72"/>
                          <w:szCs w:val="72"/>
                        </w:rPr>
                        <w:t>actsheet</w:t>
                      </w:r>
                      <w:r w:rsidR="0087302D" w:rsidRPr="00556DF7">
                        <w:rPr>
                          <w:color w:val="001E62"/>
                          <w:sz w:val="72"/>
                          <w:szCs w:val="72"/>
                        </w:rPr>
                        <w:t xml:space="preserve">: Cycling </w:t>
                      </w:r>
                      <w:r w:rsidR="00556DF7">
                        <w:rPr>
                          <w:color w:val="001E62"/>
                          <w:sz w:val="72"/>
                          <w:szCs w:val="72"/>
                        </w:rPr>
                        <w:t>a</w:t>
                      </w:r>
                      <w:r w:rsidR="0087302D" w:rsidRPr="00556DF7">
                        <w:rPr>
                          <w:color w:val="001E62"/>
                          <w:sz w:val="72"/>
                          <w:szCs w:val="72"/>
                        </w:rPr>
                        <w:t>ccidents</w:t>
                      </w:r>
                    </w:p>
                  </w:txbxContent>
                </v:textbox>
              </v:shape>
            </w:pict>
          </mc:Fallback>
        </mc:AlternateContent>
      </w:r>
    </w:p>
    <w:p w14:paraId="3CBB7997" w14:textId="77777777" w:rsidR="00B54D16" w:rsidRDefault="00B54D16" w:rsidP="002D04B7">
      <w:pPr>
        <w:ind w:left="142" w:right="-180"/>
      </w:pPr>
    </w:p>
    <w:p w14:paraId="3D8689A7" w14:textId="77777777" w:rsidR="0087302D" w:rsidRDefault="0087302D" w:rsidP="00F50FE8">
      <w:pPr>
        <w:pStyle w:val="Frontpagetitletext"/>
        <w:spacing w:line="240" w:lineRule="auto"/>
        <w:jc w:val="right"/>
        <w:rPr>
          <w:b w:val="0"/>
          <w:color w:val="auto"/>
          <w:sz w:val="22"/>
          <w:szCs w:val="22"/>
        </w:rPr>
      </w:pPr>
      <w:bookmarkStart w:id="0" w:name="_Toc442358778"/>
      <w:bookmarkStart w:id="1" w:name="_Toc442796380"/>
    </w:p>
    <w:p w14:paraId="71C6686D" w14:textId="77777777" w:rsidR="0087302D" w:rsidRDefault="0087302D" w:rsidP="00F50FE8">
      <w:pPr>
        <w:pStyle w:val="Frontpagetitletext"/>
        <w:spacing w:line="240" w:lineRule="auto"/>
        <w:jc w:val="right"/>
        <w:rPr>
          <w:b w:val="0"/>
          <w:color w:val="auto"/>
          <w:sz w:val="22"/>
          <w:szCs w:val="22"/>
        </w:rPr>
      </w:pPr>
    </w:p>
    <w:p w14:paraId="37E708E0" w14:textId="77777777" w:rsidR="0087302D" w:rsidRDefault="0087302D" w:rsidP="00F50FE8">
      <w:pPr>
        <w:pStyle w:val="Frontpagetitletext"/>
        <w:spacing w:line="240" w:lineRule="auto"/>
        <w:jc w:val="right"/>
        <w:rPr>
          <w:b w:val="0"/>
          <w:color w:val="auto"/>
          <w:sz w:val="22"/>
          <w:szCs w:val="22"/>
        </w:rPr>
      </w:pPr>
    </w:p>
    <w:p w14:paraId="26A973A8" w14:textId="77777777" w:rsidR="00556DF7" w:rsidRDefault="00F91F05" w:rsidP="00F50FE8">
      <w:pPr>
        <w:pStyle w:val="Frontpagetitletext"/>
        <w:spacing w:line="240" w:lineRule="auto"/>
        <w:jc w:val="right"/>
        <w:rPr>
          <w:b w:val="0"/>
          <w:color w:val="auto"/>
          <w:sz w:val="22"/>
          <w:szCs w:val="22"/>
        </w:rPr>
      </w:pPr>
      <w:r>
        <w:rPr>
          <w:b w:val="0"/>
          <w:color w:val="auto"/>
          <w:sz w:val="22"/>
          <w:szCs w:val="22"/>
        </w:rPr>
        <w:t xml:space="preserve"> </w:t>
      </w:r>
    </w:p>
    <w:bookmarkEnd w:id="0"/>
    <w:bookmarkEnd w:id="1"/>
    <w:p w14:paraId="17830A4C" w14:textId="395311C1" w:rsidR="00A449AF" w:rsidRPr="00556DF7" w:rsidRDefault="006C69F4" w:rsidP="00556DF7">
      <w:pPr>
        <w:pStyle w:val="Frontpagetitletext"/>
        <w:spacing w:line="240" w:lineRule="auto"/>
        <w:jc w:val="right"/>
        <w:rPr>
          <w:rStyle w:val="Heading1Char"/>
          <w:bCs/>
          <w:color w:val="auto"/>
          <w:sz w:val="22"/>
          <w:szCs w:val="22"/>
        </w:rPr>
      </w:pPr>
      <w:r>
        <w:rPr>
          <w:b w:val="0"/>
          <w:color w:val="auto"/>
          <w:sz w:val="22"/>
          <w:szCs w:val="22"/>
        </w:rPr>
        <w:t>August</w:t>
      </w:r>
      <w:r w:rsidR="00556DF7">
        <w:rPr>
          <w:b w:val="0"/>
          <w:color w:val="auto"/>
          <w:sz w:val="22"/>
          <w:szCs w:val="22"/>
        </w:rPr>
        <w:t xml:space="preserve"> 2022</w:t>
      </w:r>
    </w:p>
    <w:p w14:paraId="34A6E2D1" w14:textId="77777777" w:rsidR="00174431" w:rsidRDefault="00174431" w:rsidP="00174431">
      <w:pPr>
        <w:pStyle w:val="Default"/>
      </w:pPr>
    </w:p>
    <w:p w14:paraId="015828B2" w14:textId="1D9B6F25" w:rsidR="002A1088" w:rsidRPr="00BE778C" w:rsidRDefault="00F91F05" w:rsidP="00305855">
      <w:pPr>
        <w:pStyle w:val="Default"/>
        <w:rPr>
          <w:rFonts w:ascii="Calibri" w:hAnsi="Calibri"/>
          <w:sz w:val="22"/>
          <w:szCs w:val="22"/>
        </w:rPr>
      </w:pPr>
      <w:r>
        <w:rPr>
          <w:rFonts w:ascii="Calibri" w:hAnsi="Calibri"/>
          <w:sz w:val="22"/>
          <w:szCs w:val="22"/>
        </w:rPr>
        <w:t>In 2020</w:t>
      </w:r>
      <w:r w:rsidR="00BE778C" w:rsidRPr="00BE778C">
        <w:rPr>
          <w:rFonts w:ascii="Calibri" w:hAnsi="Calibri"/>
          <w:sz w:val="22"/>
          <w:szCs w:val="22"/>
        </w:rPr>
        <w:t>,</w:t>
      </w:r>
      <w:r w:rsidR="00305855" w:rsidRPr="00BE778C">
        <w:rPr>
          <w:rFonts w:ascii="Calibri" w:hAnsi="Calibri"/>
          <w:sz w:val="22"/>
          <w:szCs w:val="22"/>
        </w:rPr>
        <w:t xml:space="preserve"> </w:t>
      </w:r>
      <w:r>
        <w:rPr>
          <w:rFonts w:ascii="Calibri" w:hAnsi="Calibri"/>
          <w:sz w:val="22"/>
          <w:szCs w:val="22"/>
        </w:rPr>
        <w:t>16,294</w:t>
      </w:r>
      <w:r w:rsidR="00957DF5">
        <w:rPr>
          <w:rFonts w:ascii="Calibri" w:hAnsi="Calibri"/>
          <w:sz w:val="22"/>
          <w:szCs w:val="22"/>
        </w:rPr>
        <w:t xml:space="preserve"> </w:t>
      </w:r>
      <w:r w:rsidR="00305855" w:rsidRPr="00BE778C">
        <w:rPr>
          <w:rFonts w:ascii="Calibri" w:hAnsi="Calibri"/>
          <w:sz w:val="22"/>
          <w:szCs w:val="22"/>
        </w:rPr>
        <w:t xml:space="preserve">cyclists were injured in reported road accidents, including </w:t>
      </w:r>
      <w:r>
        <w:rPr>
          <w:rFonts w:ascii="Calibri" w:hAnsi="Calibri"/>
          <w:sz w:val="22"/>
          <w:szCs w:val="22"/>
        </w:rPr>
        <w:t>4,356</w:t>
      </w:r>
      <w:r w:rsidR="00305855" w:rsidRPr="00BE778C">
        <w:rPr>
          <w:rFonts w:ascii="Calibri" w:hAnsi="Calibri"/>
          <w:sz w:val="22"/>
          <w:szCs w:val="22"/>
        </w:rPr>
        <w:t xml:space="preserve"> who </w:t>
      </w:r>
      <w:r w:rsidR="00BE778C" w:rsidRPr="00BE778C">
        <w:rPr>
          <w:rFonts w:ascii="Calibri" w:hAnsi="Calibri"/>
          <w:sz w:val="22"/>
          <w:szCs w:val="22"/>
        </w:rPr>
        <w:t>were</w:t>
      </w:r>
      <w:r w:rsidR="00305855" w:rsidRPr="00BE778C">
        <w:rPr>
          <w:rFonts w:ascii="Calibri" w:hAnsi="Calibri"/>
          <w:sz w:val="22"/>
          <w:szCs w:val="22"/>
        </w:rPr>
        <w:t xml:space="preserve"> killed or seriously injured</w:t>
      </w:r>
      <w:r w:rsidR="00C65582">
        <w:rPr>
          <w:rFonts w:ascii="Calibri" w:hAnsi="Calibri"/>
          <w:sz w:val="22"/>
          <w:szCs w:val="22"/>
        </w:rPr>
        <w:t>.</w:t>
      </w:r>
      <w:r w:rsidR="00334DD6">
        <w:rPr>
          <w:rStyle w:val="FootnoteReference"/>
          <w:rFonts w:ascii="Calibri" w:hAnsi="Calibri"/>
          <w:sz w:val="22"/>
          <w:szCs w:val="22"/>
        </w:rPr>
        <w:footnoteReference w:id="1"/>
      </w:r>
      <w:r w:rsidR="00C65582">
        <w:rPr>
          <w:rFonts w:ascii="Calibri" w:hAnsi="Calibri"/>
          <w:sz w:val="22"/>
          <w:szCs w:val="22"/>
        </w:rPr>
        <w:t>*</w:t>
      </w:r>
      <w:r w:rsidR="0014598D">
        <w:rPr>
          <w:rFonts w:ascii="Calibri" w:hAnsi="Calibri"/>
          <w:sz w:val="22"/>
          <w:szCs w:val="22"/>
        </w:rPr>
        <w:t>*</w:t>
      </w:r>
    </w:p>
    <w:p w14:paraId="2E1DF40E" w14:textId="77777777" w:rsidR="00305855" w:rsidRDefault="00305855" w:rsidP="00305855">
      <w:pPr>
        <w:pStyle w:val="Default"/>
        <w:rPr>
          <w:sz w:val="22"/>
          <w:szCs w:val="22"/>
        </w:rPr>
      </w:pPr>
    </w:p>
    <w:p w14:paraId="4E288A30" w14:textId="54051BA7" w:rsidR="00BE778C" w:rsidRDefault="00F91F05" w:rsidP="00305855">
      <w:pPr>
        <w:pStyle w:val="Default"/>
        <w:rPr>
          <w:rFonts w:ascii="Calibri" w:hAnsi="Calibri"/>
          <w:b/>
          <w:sz w:val="22"/>
          <w:szCs w:val="22"/>
        </w:rPr>
      </w:pPr>
      <w:r>
        <w:rPr>
          <w:rFonts w:ascii="Calibri" w:hAnsi="Calibri"/>
          <w:b/>
          <w:sz w:val="22"/>
          <w:szCs w:val="22"/>
        </w:rPr>
        <w:t>Cyclist Casualties, 2020</w:t>
      </w:r>
      <w:r w:rsidR="00334DD6">
        <w:rPr>
          <w:rStyle w:val="FootnoteReference"/>
          <w:rFonts w:ascii="Calibri" w:hAnsi="Calibri"/>
          <w:b/>
          <w:sz w:val="22"/>
          <w:szCs w:val="22"/>
        </w:rPr>
        <w:footnoteReference w:id="2"/>
      </w:r>
      <w:r w:rsidR="005C5ECE">
        <w:rPr>
          <w:rFonts w:ascii="Calibri" w:hAnsi="Calibri"/>
          <w:b/>
          <w:sz w:val="22"/>
          <w:szCs w:val="22"/>
        </w:rPr>
        <w:t>*</w:t>
      </w:r>
      <w:r w:rsidR="0014598D">
        <w:rPr>
          <w:rFonts w:ascii="Calibri" w:hAnsi="Calibri"/>
          <w:b/>
          <w:sz w:val="22"/>
          <w:szCs w:val="22"/>
        </w:rPr>
        <w:t>*</w:t>
      </w:r>
    </w:p>
    <w:p w14:paraId="044A3543" w14:textId="77777777" w:rsidR="00BE778C" w:rsidRDefault="00BE778C" w:rsidP="00305855">
      <w:pPr>
        <w:pStyle w:val="Default"/>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79"/>
        <w:gridCol w:w="2117"/>
        <w:gridCol w:w="1751"/>
        <w:gridCol w:w="1945"/>
      </w:tblGrid>
      <w:tr w:rsidR="00334DD6" w:rsidRPr="002825C1" w14:paraId="37C48497" w14:textId="77777777" w:rsidTr="001A27F8">
        <w:tc>
          <w:tcPr>
            <w:tcW w:w="2020" w:type="dxa"/>
          </w:tcPr>
          <w:p w14:paraId="2DE9F0A8" w14:textId="77777777" w:rsidR="00334DD6" w:rsidRPr="002825C1" w:rsidRDefault="00334DD6" w:rsidP="002825C1">
            <w:pPr>
              <w:pStyle w:val="Default"/>
              <w:rPr>
                <w:rFonts w:ascii="Calibri" w:hAnsi="Calibri"/>
                <w:b/>
                <w:sz w:val="22"/>
                <w:szCs w:val="22"/>
              </w:rPr>
            </w:pPr>
          </w:p>
        </w:tc>
        <w:tc>
          <w:tcPr>
            <w:tcW w:w="2079" w:type="dxa"/>
          </w:tcPr>
          <w:p w14:paraId="02C2220B" w14:textId="77777777" w:rsidR="00334DD6" w:rsidRPr="002825C1" w:rsidRDefault="00334DD6" w:rsidP="002825C1">
            <w:pPr>
              <w:pStyle w:val="Default"/>
              <w:jc w:val="center"/>
              <w:rPr>
                <w:rFonts w:ascii="Calibri" w:hAnsi="Calibri"/>
                <w:b/>
                <w:sz w:val="22"/>
                <w:szCs w:val="22"/>
              </w:rPr>
            </w:pPr>
            <w:r w:rsidRPr="002825C1">
              <w:rPr>
                <w:rFonts w:ascii="Calibri" w:hAnsi="Calibri"/>
                <w:b/>
                <w:sz w:val="22"/>
                <w:szCs w:val="22"/>
              </w:rPr>
              <w:t>Child (0-15)</w:t>
            </w:r>
          </w:p>
        </w:tc>
        <w:tc>
          <w:tcPr>
            <w:tcW w:w="2117" w:type="dxa"/>
          </w:tcPr>
          <w:p w14:paraId="6CA0BEA2" w14:textId="6302B281" w:rsidR="00334DD6" w:rsidRPr="002825C1" w:rsidRDefault="00334DD6" w:rsidP="002825C1">
            <w:pPr>
              <w:pStyle w:val="Default"/>
              <w:jc w:val="center"/>
              <w:rPr>
                <w:rFonts w:ascii="Calibri" w:hAnsi="Calibri"/>
                <w:b/>
                <w:sz w:val="22"/>
                <w:szCs w:val="22"/>
              </w:rPr>
            </w:pPr>
            <w:r w:rsidRPr="002825C1">
              <w:rPr>
                <w:rFonts w:ascii="Calibri" w:hAnsi="Calibri"/>
                <w:b/>
                <w:sz w:val="22"/>
                <w:szCs w:val="22"/>
              </w:rPr>
              <w:t>Adult</w:t>
            </w:r>
            <w:r>
              <w:rPr>
                <w:rFonts w:ascii="Calibri" w:hAnsi="Calibri"/>
                <w:b/>
                <w:sz w:val="22"/>
                <w:szCs w:val="22"/>
              </w:rPr>
              <w:t xml:space="preserve"> (16-59)</w:t>
            </w:r>
          </w:p>
        </w:tc>
        <w:tc>
          <w:tcPr>
            <w:tcW w:w="1751" w:type="dxa"/>
          </w:tcPr>
          <w:p w14:paraId="5EE6F1A8" w14:textId="619D5F27" w:rsidR="00334DD6" w:rsidRPr="002825C1" w:rsidRDefault="00334DD6" w:rsidP="002825C1">
            <w:pPr>
              <w:pStyle w:val="Default"/>
              <w:jc w:val="center"/>
              <w:rPr>
                <w:rFonts w:ascii="Calibri" w:hAnsi="Calibri"/>
                <w:b/>
                <w:sz w:val="22"/>
                <w:szCs w:val="22"/>
              </w:rPr>
            </w:pPr>
            <w:r>
              <w:rPr>
                <w:rFonts w:ascii="Calibri" w:hAnsi="Calibri"/>
                <w:b/>
                <w:sz w:val="22"/>
                <w:szCs w:val="22"/>
              </w:rPr>
              <w:t>Adults (60+)</w:t>
            </w:r>
          </w:p>
        </w:tc>
        <w:tc>
          <w:tcPr>
            <w:tcW w:w="1945" w:type="dxa"/>
          </w:tcPr>
          <w:p w14:paraId="6DBE475C" w14:textId="0D7BBBF9" w:rsidR="00334DD6" w:rsidRPr="002825C1" w:rsidRDefault="00334DD6" w:rsidP="002825C1">
            <w:pPr>
              <w:pStyle w:val="Default"/>
              <w:jc w:val="center"/>
              <w:rPr>
                <w:rFonts w:ascii="Calibri" w:hAnsi="Calibri"/>
                <w:b/>
                <w:sz w:val="22"/>
                <w:szCs w:val="22"/>
              </w:rPr>
            </w:pPr>
            <w:r w:rsidRPr="002825C1">
              <w:rPr>
                <w:rFonts w:ascii="Calibri" w:hAnsi="Calibri"/>
                <w:b/>
                <w:sz w:val="22"/>
                <w:szCs w:val="22"/>
              </w:rPr>
              <w:t>All*</w:t>
            </w:r>
            <w:r>
              <w:rPr>
                <w:rFonts w:ascii="Calibri" w:hAnsi="Calibri"/>
                <w:b/>
                <w:sz w:val="22"/>
                <w:szCs w:val="22"/>
              </w:rPr>
              <w:t>*</w:t>
            </w:r>
          </w:p>
        </w:tc>
      </w:tr>
      <w:tr w:rsidR="00334DD6" w:rsidRPr="002825C1" w14:paraId="0163F686" w14:textId="77777777" w:rsidTr="001A27F8">
        <w:tc>
          <w:tcPr>
            <w:tcW w:w="2020" w:type="dxa"/>
          </w:tcPr>
          <w:p w14:paraId="091F6B8D" w14:textId="77777777" w:rsidR="00334DD6" w:rsidRPr="002825C1" w:rsidRDefault="00334DD6" w:rsidP="002825C1">
            <w:pPr>
              <w:pStyle w:val="Default"/>
              <w:rPr>
                <w:rFonts w:ascii="Calibri" w:hAnsi="Calibri"/>
                <w:b/>
                <w:sz w:val="22"/>
                <w:szCs w:val="22"/>
              </w:rPr>
            </w:pPr>
            <w:r w:rsidRPr="002825C1">
              <w:rPr>
                <w:rFonts w:ascii="Calibri" w:hAnsi="Calibri"/>
                <w:b/>
                <w:sz w:val="22"/>
                <w:szCs w:val="22"/>
              </w:rPr>
              <w:t>Killed</w:t>
            </w:r>
          </w:p>
        </w:tc>
        <w:tc>
          <w:tcPr>
            <w:tcW w:w="2079" w:type="dxa"/>
          </w:tcPr>
          <w:p w14:paraId="156DB9C5" w14:textId="77777777" w:rsidR="00334DD6" w:rsidRPr="002825C1" w:rsidRDefault="00334DD6" w:rsidP="00F91F05">
            <w:pPr>
              <w:pStyle w:val="Default"/>
              <w:jc w:val="center"/>
              <w:rPr>
                <w:rFonts w:ascii="Calibri" w:hAnsi="Calibri"/>
                <w:sz w:val="22"/>
                <w:szCs w:val="22"/>
              </w:rPr>
            </w:pPr>
            <w:r>
              <w:rPr>
                <w:rFonts w:ascii="Calibri" w:hAnsi="Calibri"/>
                <w:sz w:val="22"/>
                <w:szCs w:val="22"/>
              </w:rPr>
              <w:t>9</w:t>
            </w:r>
          </w:p>
        </w:tc>
        <w:tc>
          <w:tcPr>
            <w:tcW w:w="2117" w:type="dxa"/>
          </w:tcPr>
          <w:p w14:paraId="2D7C813A" w14:textId="7986DAB9" w:rsidR="00334DD6" w:rsidRPr="002825C1" w:rsidRDefault="00334DD6" w:rsidP="00F91F05">
            <w:pPr>
              <w:pStyle w:val="Default"/>
              <w:jc w:val="center"/>
              <w:rPr>
                <w:rFonts w:ascii="Calibri" w:hAnsi="Calibri"/>
                <w:sz w:val="22"/>
                <w:szCs w:val="22"/>
              </w:rPr>
            </w:pPr>
            <w:r>
              <w:rPr>
                <w:rFonts w:ascii="Calibri" w:hAnsi="Calibri"/>
                <w:sz w:val="22"/>
                <w:szCs w:val="22"/>
              </w:rPr>
              <w:t>76</w:t>
            </w:r>
          </w:p>
        </w:tc>
        <w:tc>
          <w:tcPr>
            <w:tcW w:w="1751" w:type="dxa"/>
          </w:tcPr>
          <w:p w14:paraId="53507F9F" w14:textId="083B0708" w:rsidR="00334DD6" w:rsidRDefault="00334DD6" w:rsidP="00F91F05">
            <w:pPr>
              <w:pStyle w:val="Default"/>
              <w:jc w:val="center"/>
              <w:rPr>
                <w:rFonts w:ascii="Calibri" w:hAnsi="Calibri"/>
                <w:sz w:val="22"/>
                <w:szCs w:val="22"/>
              </w:rPr>
            </w:pPr>
            <w:r>
              <w:rPr>
                <w:rFonts w:ascii="Calibri" w:hAnsi="Calibri"/>
                <w:sz w:val="22"/>
                <w:szCs w:val="22"/>
              </w:rPr>
              <w:t>56</w:t>
            </w:r>
          </w:p>
        </w:tc>
        <w:tc>
          <w:tcPr>
            <w:tcW w:w="1945" w:type="dxa"/>
          </w:tcPr>
          <w:p w14:paraId="1C764C90" w14:textId="55665ED2" w:rsidR="00334DD6" w:rsidRPr="002825C1" w:rsidRDefault="00334DD6" w:rsidP="00F91F05">
            <w:pPr>
              <w:pStyle w:val="Default"/>
              <w:jc w:val="center"/>
              <w:rPr>
                <w:rFonts w:ascii="Calibri" w:hAnsi="Calibri"/>
                <w:sz w:val="22"/>
                <w:szCs w:val="22"/>
              </w:rPr>
            </w:pPr>
            <w:r>
              <w:rPr>
                <w:rFonts w:ascii="Calibri" w:hAnsi="Calibri"/>
                <w:sz w:val="22"/>
                <w:szCs w:val="22"/>
              </w:rPr>
              <w:t>141</w:t>
            </w:r>
          </w:p>
        </w:tc>
      </w:tr>
      <w:tr w:rsidR="00334DD6" w:rsidRPr="002825C1" w14:paraId="17E9A2AE" w14:textId="77777777" w:rsidTr="001A27F8">
        <w:tc>
          <w:tcPr>
            <w:tcW w:w="2020" w:type="dxa"/>
          </w:tcPr>
          <w:p w14:paraId="72F52DB8" w14:textId="77777777" w:rsidR="00334DD6" w:rsidRPr="002825C1" w:rsidRDefault="00334DD6" w:rsidP="002825C1">
            <w:pPr>
              <w:pStyle w:val="Default"/>
              <w:rPr>
                <w:rFonts w:ascii="Calibri" w:hAnsi="Calibri"/>
                <w:b/>
                <w:sz w:val="22"/>
                <w:szCs w:val="22"/>
              </w:rPr>
            </w:pPr>
            <w:r w:rsidRPr="002825C1">
              <w:rPr>
                <w:rFonts w:ascii="Calibri" w:hAnsi="Calibri"/>
                <w:b/>
                <w:sz w:val="22"/>
                <w:szCs w:val="22"/>
              </w:rPr>
              <w:t>Seriously injured</w:t>
            </w:r>
          </w:p>
        </w:tc>
        <w:tc>
          <w:tcPr>
            <w:tcW w:w="2079" w:type="dxa"/>
          </w:tcPr>
          <w:p w14:paraId="42E7F124" w14:textId="77777777" w:rsidR="00334DD6" w:rsidRPr="002825C1" w:rsidRDefault="00334DD6" w:rsidP="00F91F05">
            <w:pPr>
              <w:pStyle w:val="Default"/>
              <w:jc w:val="center"/>
              <w:rPr>
                <w:rFonts w:ascii="Calibri" w:hAnsi="Calibri"/>
                <w:sz w:val="22"/>
                <w:szCs w:val="22"/>
              </w:rPr>
            </w:pPr>
            <w:r>
              <w:rPr>
                <w:rFonts w:ascii="Calibri" w:hAnsi="Calibri"/>
                <w:sz w:val="22"/>
                <w:szCs w:val="22"/>
              </w:rPr>
              <w:t>369</w:t>
            </w:r>
          </w:p>
        </w:tc>
        <w:tc>
          <w:tcPr>
            <w:tcW w:w="2117" w:type="dxa"/>
          </w:tcPr>
          <w:p w14:paraId="571ADCDA" w14:textId="4581DF92" w:rsidR="00334DD6" w:rsidRPr="002825C1" w:rsidRDefault="00334DD6" w:rsidP="00F91F05">
            <w:pPr>
              <w:pStyle w:val="Default"/>
              <w:jc w:val="center"/>
              <w:rPr>
                <w:rFonts w:ascii="Calibri" w:hAnsi="Calibri"/>
                <w:sz w:val="22"/>
                <w:szCs w:val="22"/>
              </w:rPr>
            </w:pPr>
            <w:r>
              <w:rPr>
                <w:rFonts w:ascii="Calibri" w:hAnsi="Calibri"/>
                <w:sz w:val="22"/>
                <w:szCs w:val="22"/>
              </w:rPr>
              <w:t>3,162</w:t>
            </w:r>
          </w:p>
        </w:tc>
        <w:tc>
          <w:tcPr>
            <w:tcW w:w="1751" w:type="dxa"/>
          </w:tcPr>
          <w:p w14:paraId="48CFC98A" w14:textId="3D9CD7E8" w:rsidR="00334DD6" w:rsidRDefault="00334DD6" w:rsidP="00F91F05">
            <w:pPr>
              <w:pStyle w:val="Default"/>
              <w:jc w:val="center"/>
              <w:rPr>
                <w:rFonts w:ascii="Calibri" w:hAnsi="Calibri"/>
                <w:sz w:val="22"/>
                <w:szCs w:val="22"/>
              </w:rPr>
            </w:pPr>
            <w:r>
              <w:rPr>
                <w:rFonts w:ascii="Calibri" w:hAnsi="Calibri"/>
                <w:sz w:val="22"/>
                <w:szCs w:val="22"/>
              </w:rPr>
              <w:t>646</w:t>
            </w:r>
          </w:p>
        </w:tc>
        <w:tc>
          <w:tcPr>
            <w:tcW w:w="1945" w:type="dxa"/>
          </w:tcPr>
          <w:p w14:paraId="3C976AD1" w14:textId="2D9BB086" w:rsidR="00334DD6" w:rsidRPr="002825C1" w:rsidRDefault="00334DD6" w:rsidP="00F91F05">
            <w:pPr>
              <w:pStyle w:val="Default"/>
              <w:jc w:val="center"/>
              <w:rPr>
                <w:rFonts w:ascii="Calibri" w:hAnsi="Calibri"/>
                <w:sz w:val="22"/>
                <w:szCs w:val="22"/>
              </w:rPr>
            </w:pPr>
            <w:r>
              <w:rPr>
                <w:rFonts w:ascii="Calibri" w:hAnsi="Calibri"/>
                <w:sz w:val="22"/>
                <w:szCs w:val="22"/>
              </w:rPr>
              <w:t>4,215</w:t>
            </w:r>
          </w:p>
        </w:tc>
      </w:tr>
      <w:tr w:rsidR="00334DD6" w:rsidRPr="002825C1" w14:paraId="0EAD7F33" w14:textId="77777777" w:rsidTr="001A27F8">
        <w:tc>
          <w:tcPr>
            <w:tcW w:w="2020" w:type="dxa"/>
          </w:tcPr>
          <w:p w14:paraId="79129D03" w14:textId="77777777" w:rsidR="00334DD6" w:rsidRPr="002825C1" w:rsidRDefault="00334DD6" w:rsidP="002825C1">
            <w:pPr>
              <w:pStyle w:val="Default"/>
              <w:rPr>
                <w:rFonts w:ascii="Calibri" w:hAnsi="Calibri"/>
                <w:b/>
                <w:sz w:val="22"/>
                <w:szCs w:val="22"/>
              </w:rPr>
            </w:pPr>
            <w:r w:rsidRPr="002825C1">
              <w:rPr>
                <w:rFonts w:ascii="Calibri" w:hAnsi="Calibri"/>
                <w:b/>
                <w:sz w:val="22"/>
                <w:szCs w:val="22"/>
              </w:rPr>
              <w:t>Slightly injured</w:t>
            </w:r>
          </w:p>
        </w:tc>
        <w:tc>
          <w:tcPr>
            <w:tcW w:w="2079" w:type="dxa"/>
          </w:tcPr>
          <w:p w14:paraId="5A1E77F2" w14:textId="226AC154" w:rsidR="00334DD6" w:rsidRPr="002825C1" w:rsidRDefault="00334DD6" w:rsidP="00F91F05">
            <w:pPr>
              <w:pStyle w:val="Default"/>
              <w:jc w:val="center"/>
              <w:rPr>
                <w:rFonts w:ascii="Calibri" w:hAnsi="Calibri"/>
                <w:sz w:val="22"/>
                <w:szCs w:val="22"/>
              </w:rPr>
            </w:pPr>
            <w:r>
              <w:rPr>
                <w:rFonts w:ascii="Calibri" w:hAnsi="Calibri"/>
                <w:sz w:val="22"/>
                <w:szCs w:val="22"/>
              </w:rPr>
              <w:t>1,292</w:t>
            </w:r>
          </w:p>
        </w:tc>
        <w:tc>
          <w:tcPr>
            <w:tcW w:w="2117" w:type="dxa"/>
          </w:tcPr>
          <w:p w14:paraId="5DEC627E" w14:textId="74876C75" w:rsidR="00334DD6" w:rsidRPr="002825C1" w:rsidRDefault="00334DD6" w:rsidP="00F91F05">
            <w:pPr>
              <w:pStyle w:val="Default"/>
              <w:jc w:val="center"/>
              <w:rPr>
                <w:rFonts w:ascii="Calibri" w:hAnsi="Calibri"/>
                <w:sz w:val="22"/>
                <w:szCs w:val="22"/>
              </w:rPr>
            </w:pPr>
            <w:r>
              <w:rPr>
                <w:rFonts w:ascii="Calibri" w:hAnsi="Calibri"/>
                <w:sz w:val="22"/>
                <w:szCs w:val="22"/>
              </w:rPr>
              <w:t>9,369</w:t>
            </w:r>
          </w:p>
        </w:tc>
        <w:tc>
          <w:tcPr>
            <w:tcW w:w="1751" w:type="dxa"/>
          </w:tcPr>
          <w:p w14:paraId="74491B48" w14:textId="7659D3A4" w:rsidR="00334DD6" w:rsidRDefault="00334DD6" w:rsidP="00F91F05">
            <w:pPr>
              <w:pStyle w:val="Default"/>
              <w:jc w:val="center"/>
              <w:rPr>
                <w:rFonts w:ascii="Calibri" w:hAnsi="Calibri"/>
                <w:sz w:val="22"/>
                <w:szCs w:val="22"/>
              </w:rPr>
            </w:pPr>
            <w:r>
              <w:rPr>
                <w:rFonts w:ascii="Calibri" w:hAnsi="Calibri"/>
                <w:sz w:val="22"/>
                <w:szCs w:val="22"/>
              </w:rPr>
              <w:t>932</w:t>
            </w:r>
          </w:p>
        </w:tc>
        <w:tc>
          <w:tcPr>
            <w:tcW w:w="1945" w:type="dxa"/>
          </w:tcPr>
          <w:p w14:paraId="508B64F9" w14:textId="6EACBFDB" w:rsidR="00334DD6" w:rsidRPr="002825C1" w:rsidRDefault="00334DD6" w:rsidP="00F91F05">
            <w:pPr>
              <w:pStyle w:val="Default"/>
              <w:jc w:val="center"/>
              <w:rPr>
                <w:rFonts w:ascii="Calibri" w:hAnsi="Calibri"/>
                <w:sz w:val="22"/>
                <w:szCs w:val="22"/>
              </w:rPr>
            </w:pPr>
            <w:r>
              <w:rPr>
                <w:rFonts w:ascii="Calibri" w:hAnsi="Calibri"/>
                <w:sz w:val="22"/>
                <w:szCs w:val="22"/>
              </w:rPr>
              <w:t>11,938</w:t>
            </w:r>
          </w:p>
        </w:tc>
      </w:tr>
      <w:tr w:rsidR="00334DD6" w:rsidRPr="002825C1" w14:paraId="652CD450" w14:textId="77777777" w:rsidTr="001A27F8">
        <w:tc>
          <w:tcPr>
            <w:tcW w:w="2020" w:type="dxa"/>
          </w:tcPr>
          <w:p w14:paraId="30F579BB" w14:textId="77777777" w:rsidR="00334DD6" w:rsidRPr="002825C1" w:rsidRDefault="00334DD6" w:rsidP="002825C1">
            <w:pPr>
              <w:pStyle w:val="Default"/>
              <w:rPr>
                <w:rFonts w:ascii="Calibri" w:hAnsi="Calibri"/>
                <w:b/>
                <w:sz w:val="22"/>
                <w:szCs w:val="22"/>
              </w:rPr>
            </w:pPr>
            <w:r w:rsidRPr="002825C1">
              <w:rPr>
                <w:rFonts w:ascii="Calibri" w:hAnsi="Calibri"/>
                <w:b/>
                <w:sz w:val="22"/>
                <w:szCs w:val="22"/>
              </w:rPr>
              <w:t>Total</w:t>
            </w:r>
          </w:p>
        </w:tc>
        <w:tc>
          <w:tcPr>
            <w:tcW w:w="2079" w:type="dxa"/>
          </w:tcPr>
          <w:p w14:paraId="544BC93C" w14:textId="0A58C682" w:rsidR="00334DD6" w:rsidRPr="002825C1" w:rsidRDefault="00334DD6" w:rsidP="00F91F05">
            <w:pPr>
              <w:pStyle w:val="Default"/>
              <w:jc w:val="center"/>
              <w:rPr>
                <w:rFonts w:ascii="Calibri" w:hAnsi="Calibri"/>
                <w:sz w:val="22"/>
                <w:szCs w:val="22"/>
              </w:rPr>
            </w:pPr>
            <w:r>
              <w:rPr>
                <w:rFonts w:ascii="Calibri" w:hAnsi="Calibri"/>
                <w:sz w:val="22"/>
                <w:szCs w:val="22"/>
              </w:rPr>
              <w:t>1,670</w:t>
            </w:r>
          </w:p>
        </w:tc>
        <w:tc>
          <w:tcPr>
            <w:tcW w:w="2117" w:type="dxa"/>
          </w:tcPr>
          <w:p w14:paraId="7A73D584" w14:textId="0AC42267" w:rsidR="00334DD6" w:rsidRPr="002825C1" w:rsidRDefault="00334DD6" w:rsidP="00F91F05">
            <w:pPr>
              <w:pStyle w:val="Default"/>
              <w:jc w:val="center"/>
              <w:rPr>
                <w:rFonts w:ascii="Calibri" w:hAnsi="Calibri"/>
                <w:sz w:val="22"/>
                <w:szCs w:val="22"/>
              </w:rPr>
            </w:pPr>
            <w:r>
              <w:rPr>
                <w:rFonts w:ascii="Calibri" w:hAnsi="Calibri"/>
                <w:sz w:val="22"/>
                <w:szCs w:val="22"/>
              </w:rPr>
              <w:t>12,607</w:t>
            </w:r>
          </w:p>
        </w:tc>
        <w:tc>
          <w:tcPr>
            <w:tcW w:w="1751" w:type="dxa"/>
          </w:tcPr>
          <w:p w14:paraId="6A278788" w14:textId="4498187D" w:rsidR="00334DD6" w:rsidRDefault="004D7DA4" w:rsidP="00F91F05">
            <w:pPr>
              <w:pStyle w:val="Default"/>
              <w:jc w:val="center"/>
              <w:rPr>
                <w:rFonts w:ascii="Calibri" w:hAnsi="Calibri"/>
                <w:sz w:val="22"/>
                <w:szCs w:val="22"/>
              </w:rPr>
            </w:pPr>
            <w:r>
              <w:rPr>
                <w:rFonts w:ascii="Calibri" w:hAnsi="Calibri"/>
                <w:sz w:val="22"/>
                <w:szCs w:val="22"/>
              </w:rPr>
              <w:t>1,634</w:t>
            </w:r>
          </w:p>
        </w:tc>
        <w:tc>
          <w:tcPr>
            <w:tcW w:w="1945" w:type="dxa"/>
          </w:tcPr>
          <w:p w14:paraId="48D3172C" w14:textId="7A7B603A" w:rsidR="00334DD6" w:rsidRPr="002825C1" w:rsidRDefault="00334DD6" w:rsidP="00F91F05">
            <w:pPr>
              <w:pStyle w:val="Default"/>
              <w:jc w:val="center"/>
              <w:rPr>
                <w:rFonts w:ascii="Calibri" w:hAnsi="Calibri"/>
                <w:sz w:val="22"/>
                <w:szCs w:val="22"/>
              </w:rPr>
            </w:pPr>
            <w:r>
              <w:rPr>
                <w:rFonts w:ascii="Calibri" w:hAnsi="Calibri"/>
                <w:sz w:val="22"/>
                <w:szCs w:val="22"/>
              </w:rPr>
              <w:t>16,294</w:t>
            </w:r>
          </w:p>
        </w:tc>
      </w:tr>
    </w:tbl>
    <w:p w14:paraId="03D9FF65" w14:textId="77777777" w:rsidR="00305855" w:rsidRDefault="00305855" w:rsidP="00305855">
      <w:pPr>
        <w:pStyle w:val="Default"/>
      </w:pPr>
    </w:p>
    <w:p w14:paraId="5D27829B" w14:textId="77777777" w:rsidR="00305855" w:rsidRPr="004B58DA" w:rsidRDefault="00305855" w:rsidP="00305855">
      <w:pPr>
        <w:pStyle w:val="Default"/>
        <w:rPr>
          <w:rFonts w:ascii="Calibri" w:hAnsi="Calibri"/>
          <w:i/>
          <w:iCs/>
          <w:sz w:val="22"/>
          <w:szCs w:val="22"/>
        </w:rPr>
      </w:pPr>
      <w:r w:rsidRPr="004B58DA">
        <w:rPr>
          <w:rFonts w:ascii="Calibri" w:hAnsi="Calibri"/>
          <w:i/>
          <w:sz w:val="22"/>
          <w:szCs w:val="22"/>
        </w:rPr>
        <w:t xml:space="preserve"> </w:t>
      </w:r>
      <w:r w:rsidR="005C5ECE" w:rsidRPr="004B58DA">
        <w:rPr>
          <w:rFonts w:ascii="Calibri" w:hAnsi="Calibri"/>
          <w:i/>
          <w:sz w:val="22"/>
          <w:szCs w:val="22"/>
        </w:rPr>
        <w:t>*</w:t>
      </w:r>
      <w:r w:rsidRPr="004B58DA">
        <w:rPr>
          <w:rFonts w:ascii="Calibri" w:hAnsi="Calibri"/>
          <w:i/>
          <w:sz w:val="22"/>
          <w:szCs w:val="22"/>
        </w:rPr>
        <w:t>*All</w:t>
      </w:r>
      <w:r w:rsidRPr="004B58DA">
        <w:rPr>
          <w:rFonts w:ascii="Calibri" w:hAnsi="Calibri"/>
          <w:sz w:val="22"/>
          <w:szCs w:val="22"/>
        </w:rPr>
        <w:t xml:space="preserve"> </w:t>
      </w:r>
      <w:r w:rsidRPr="004B58DA">
        <w:rPr>
          <w:rFonts w:ascii="Calibri" w:hAnsi="Calibri"/>
          <w:i/>
          <w:iCs/>
          <w:sz w:val="22"/>
          <w:szCs w:val="22"/>
        </w:rPr>
        <w:t>includes casualties where age not recorded</w:t>
      </w:r>
    </w:p>
    <w:p w14:paraId="4FCA67FF" w14:textId="77777777" w:rsidR="00305855" w:rsidRDefault="00305855" w:rsidP="00305855">
      <w:pPr>
        <w:pStyle w:val="Default"/>
        <w:rPr>
          <w:i/>
          <w:iCs/>
          <w:sz w:val="22"/>
          <w:szCs w:val="22"/>
        </w:rPr>
      </w:pPr>
    </w:p>
    <w:p w14:paraId="23048CDC" w14:textId="77777777" w:rsidR="00566939" w:rsidRDefault="00305855" w:rsidP="00305855">
      <w:pPr>
        <w:pStyle w:val="Default"/>
        <w:rPr>
          <w:rFonts w:ascii="Calibri" w:hAnsi="Calibri"/>
          <w:sz w:val="22"/>
          <w:szCs w:val="22"/>
        </w:rPr>
      </w:pPr>
      <w:r w:rsidRPr="002825C1">
        <w:rPr>
          <w:rFonts w:ascii="Calibri" w:hAnsi="Calibri"/>
          <w:sz w:val="22"/>
          <w:szCs w:val="22"/>
        </w:rPr>
        <w:t>These figures only include cyclists killed or injured in road accidents that were reported to the police. Many cyclist casualties are not reported to the police, even when the cyclist is in</w:t>
      </w:r>
      <w:r w:rsidR="00B24B52">
        <w:rPr>
          <w:rFonts w:ascii="Calibri" w:hAnsi="Calibri"/>
          <w:sz w:val="22"/>
          <w:szCs w:val="22"/>
        </w:rPr>
        <w:t>j</w:t>
      </w:r>
      <w:r w:rsidRPr="002825C1">
        <w:rPr>
          <w:rFonts w:ascii="Calibri" w:hAnsi="Calibri"/>
          <w:sz w:val="22"/>
          <w:szCs w:val="22"/>
        </w:rPr>
        <w:t>ured badly enough to be taken to hospital. The figures also exclude cycling accidents that occur away from the road. Although the number of deaths is accurate, there could be two or three times as many seriously injured cyclists and double the number of slightly injured.</w:t>
      </w:r>
    </w:p>
    <w:p w14:paraId="009CAAFE" w14:textId="77777777" w:rsidR="00566939" w:rsidRPr="00566939" w:rsidRDefault="00566939" w:rsidP="00305855">
      <w:pPr>
        <w:pStyle w:val="Default"/>
        <w:rPr>
          <w:rFonts w:ascii="Calibri" w:hAnsi="Calibri"/>
          <w:sz w:val="4"/>
          <w:szCs w:val="22"/>
        </w:rPr>
      </w:pPr>
    </w:p>
    <w:p w14:paraId="1558884D" w14:textId="77777777" w:rsidR="00566939" w:rsidRPr="00566939" w:rsidRDefault="00327EAD" w:rsidP="00566939">
      <w:pPr>
        <w:spacing w:after="160" w:line="252" w:lineRule="auto"/>
        <w:jc w:val="left"/>
        <w:rPr>
          <w:rFonts w:cs="Calibri"/>
          <w:sz w:val="14"/>
          <w:lang w:eastAsia="en-GB"/>
        </w:rPr>
      </w:pPr>
      <w:r>
        <w:rPr>
          <w:rFonts w:cs="Calibri"/>
          <w:b/>
          <w:bCs/>
        </w:rPr>
        <w:t>Hospital Admission Statistics (</w:t>
      </w:r>
      <w:r w:rsidR="00566939" w:rsidRPr="00566939">
        <w:rPr>
          <w:rFonts w:cs="Calibri"/>
          <w:b/>
          <w:bCs/>
        </w:rPr>
        <w:t>HES data)</w:t>
      </w:r>
      <w:r w:rsidR="00566939">
        <w:rPr>
          <w:rFonts w:cs="Calibri"/>
          <w:lang w:eastAsia="en-GB"/>
        </w:rPr>
        <w:br/>
      </w:r>
    </w:p>
    <w:p w14:paraId="0071A408" w14:textId="3B71302D" w:rsidR="00305855" w:rsidRPr="00566939" w:rsidRDefault="00566939" w:rsidP="00566939">
      <w:pPr>
        <w:spacing w:after="160" w:line="252" w:lineRule="auto"/>
        <w:jc w:val="left"/>
        <w:rPr>
          <w:rFonts w:cs="Calibri"/>
        </w:rPr>
      </w:pPr>
      <w:r w:rsidRPr="00566939">
        <w:rPr>
          <w:rFonts w:cs="Calibri"/>
        </w:rPr>
        <w:t>So</w:t>
      </w:r>
      <w:r w:rsidR="004B58DA">
        <w:rPr>
          <w:rFonts w:cs="Calibri"/>
        </w:rPr>
        <w:t>me of the shortcomings in STATS</w:t>
      </w:r>
      <w:r w:rsidRPr="00566939">
        <w:rPr>
          <w:rFonts w:cs="Calibri"/>
        </w:rPr>
        <w:t xml:space="preserve">19 </w:t>
      </w:r>
      <w:r>
        <w:rPr>
          <w:rFonts w:cs="Calibri"/>
        </w:rPr>
        <w:t>data, such as serious injuries </w:t>
      </w:r>
      <w:r w:rsidRPr="00566939">
        <w:rPr>
          <w:rFonts w:cs="Calibri"/>
        </w:rPr>
        <w:t>caused by non-col</w:t>
      </w:r>
      <w:r w:rsidR="00327EAD">
        <w:rPr>
          <w:rFonts w:cs="Calibri"/>
        </w:rPr>
        <w:t>lision accidents, are overcome using</w:t>
      </w:r>
      <w:r>
        <w:rPr>
          <w:rFonts w:cs="Calibri"/>
        </w:rPr>
        <w:t xml:space="preserve"> hospital admission statistics</w:t>
      </w:r>
      <w:r w:rsidRPr="00566939">
        <w:rPr>
          <w:rFonts w:cs="Calibri"/>
        </w:rPr>
        <w:t>.</w:t>
      </w:r>
      <w:r>
        <w:rPr>
          <w:rFonts w:cs="Calibri"/>
        </w:rPr>
        <w:t xml:space="preserve"> </w:t>
      </w:r>
      <w:r w:rsidR="00327EAD">
        <w:rPr>
          <w:rFonts w:cs="Calibri"/>
        </w:rPr>
        <w:t xml:space="preserve">These </w:t>
      </w:r>
      <w:r w:rsidRPr="00566939">
        <w:rPr>
          <w:rFonts w:cs="Calibri"/>
        </w:rPr>
        <w:t>statistics show that</w:t>
      </w:r>
      <w:r w:rsidR="005612B5">
        <w:rPr>
          <w:rFonts w:cs="Calibri"/>
        </w:rPr>
        <w:t xml:space="preserve"> in 2020/21 cyclists accounted for </w:t>
      </w:r>
      <w:r w:rsidR="00B631E5">
        <w:rPr>
          <w:rFonts w:cs="Calibri"/>
        </w:rPr>
        <w:t>22,369 cyclist hospital admissions</w:t>
      </w:r>
      <w:r w:rsidR="005612B5">
        <w:rPr>
          <w:rFonts w:cs="Calibri"/>
        </w:rPr>
        <w:t>.</w:t>
      </w:r>
      <w:r w:rsidR="005612B5">
        <w:rPr>
          <w:rStyle w:val="FootnoteReference"/>
          <w:rFonts w:cs="Calibri"/>
        </w:rPr>
        <w:footnoteReference w:id="3"/>
      </w:r>
    </w:p>
    <w:p w14:paraId="22AE6C69" w14:textId="2765AC7C" w:rsidR="00305855" w:rsidRPr="00D43459" w:rsidRDefault="00305855" w:rsidP="00305855">
      <w:pPr>
        <w:pStyle w:val="Default"/>
        <w:rPr>
          <w:rFonts w:ascii="Calibri" w:hAnsi="Calibri"/>
          <w:sz w:val="22"/>
          <w:szCs w:val="22"/>
        </w:rPr>
      </w:pPr>
      <w:r w:rsidRPr="00D43459">
        <w:rPr>
          <w:rFonts w:ascii="Calibri" w:hAnsi="Calibri"/>
          <w:sz w:val="22"/>
          <w:szCs w:val="22"/>
        </w:rPr>
        <w:lastRenderedPageBreak/>
        <w:t>The majority of cyclist casualties are adults, with approximately 1</w:t>
      </w:r>
      <w:r w:rsidR="00D43459" w:rsidRPr="00D43459">
        <w:rPr>
          <w:rFonts w:ascii="Calibri" w:hAnsi="Calibri"/>
          <w:sz w:val="22"/>
          <w:szCs w:val="22"/>
        </w:rPr>
        <w:t>0</w:t>
      </w:r>
      <w:r w:rsidR="000F729D">
        <w:rPr>
          <w:rFonts w:ascii="Calibri" w:hAnsi="Calibri"/>
          <w:sz w:val="22"/>
          <w:szCs w:val="22"/>
        </w:rPr>
        <w:t xml:space="preserve"> per cent</w:t>
      </w:r>
      <w:r w:rsidRPr="00D43459">
        <w:rPr>
          <w:rFonts w:ascii="Calibri" w:hAnsi="Calibri"/>
          <w:sz w:val="22"/>
          <w:szCs w:val="22"/>
        </w:rPr>
        <w:t xml:space="preserve"> being children. Cycling accidents increase as ch</w:t>
      </w:r>
      <w:r w:rsidR="00EC424C">
        <w:rPr>
          <w:rFonts w:ascii="Calibri" w:hAnsi="Calibri"/>
          <w:sz w:val="22"/>
          <w:szCs w:val="22"/>
        </w:rPr>
        <w:t>ildren grow older, with 12-1</w:t>
      </w:r>
      <w:r w:rsidR="00986D91">
        <w:rPr>
          <w:rFonts w:ascii="Calibri" w:hAnsi="Calibri"/>
          <w:sz w:val="22"/>
          <w:szCs w:val="22"/>
        </w:rPr>
        <w:t>5</w:t>
      </w:r>
      <w:r w:rsidRPr="00D43459">
        <w:rPr>
          <w:rFonts w:ascii="Calibri" w:hAnsi="Calibri"/>
          <w:sz w:val="22"/>
          <w:szCs w:val="22"/>
        </w:rPr>
        <w:t xml:space="preserve"> year old riders being more at risk than</w:t>
      </w:r>
      <w:r w:rsidR="00986D91">
        <w:rPr>
          <w:rFonts w:ascii="Calibri" w:hAnsi="Calibri"/>
          <w:sz w:val="22"/>
          <w:szCs w:val="22"/>
        </w:rPr>
        <w:t xml:space="preserve"> other child age groups</w:t>
      </w:r>
      <w:r w:rsidRPr="00D43459">
        <w:rPr>
          <w:rFonts w:ascii="Calibri" w:hAnsi="Calibri"/>
          <w:sz w:val="22"/>
          <w:szCs w:val="22"/>
        </w:rPr>
        <w:t>.</w:t>
      </w:r>
      <w:r w:rsidR="00986D91">
        <w:rPr>
          <w:rStyle w:val="FootnoteReference"/>
          <w:rFonts w:ascii="Calibri" w:hAnsi="Calibri"/>
          <w:sz w:val="22"/>
          <w:szCs w:val="22"/>
        </w:rPr>
        <w:footnoteReference w:id="4"/>
      </w:r>
      <w:r w:rsidRPr="00D43459">
        <w:rPr>
          <w:rFonts w:ascii="Calibri" w:hAnsi="Calibri"/>
          <w:sz w:val="22"/>
          <w:szCs w:val="22"/>
        </w:rPr>
        <w:t xml:space="preserve"> To some extent, this reflects increased cycling as children grow older</w:t>
      </w:r>
      <w:r w:rsidR="00986D91">
        <w:rPr>
          <w:rFonts w:ascii="Calibri" w:hAnsi="Calibri"/>
          <w:sz w:val="22"/>
          <w:szCs w:val="22"/>
        </w:rPr>
        <w:t>, as well as coinciding</w:t>
      </w:r>
      <w:r w:rsidRPr="00D43459">
        <w:rPr>
          <w:rFonts w:ascii="Calibri" w:hAnsi="Calibri"/>
          <w:sz w:val="22"/>
          <w:szCs w:val="22"/>
        </w:rPr>
        <w:t xml:space="preserve"> wit</w:t>
      </w:r>
      <w:r w:rsidR="000F729D">
        <w:rPr>
          <w:rFonts w:ascii="Calibri" w:hAnsi="Calibri"/>
          <w:sz w:val="22"/>
          <w:szCs w:val="22"/>
        </w:rPr>
        <w:t>h the age when children attend s</w:t>
      </w:r>
      <w:r w:rsidRPr="00D43459">
        <w:rPr>
          <w:rFonts w:ascii="Calibri" w:hAnsi="Calibri"/>
          <w:sz w:val="22"/>
          <w:szCs w:val="22"/>
        </w:rPr>
        <w:t>econdary school and may start to indicate riskier behaviour.</w:t>
      </w:r>
    </w:p>
    <w:p w14:paraId="1881BB66" w14:textId="77777777" w:rsidR="00305855" w:rsidRDefault="00305855" w:rsidP="00305855">
      <w:pPr>
        <w:pStyle w:val="Default"/>
        <w:rPr>
          <w:sz w:val="22"/>
          <w:szCs w:val="22"/>
        </w:rPr>
      </w:pPr>
    </w:p>
    <w:p w14:paraId="43FEE4B6" w14:textId="15BB1511" w:rsidR="00305855" w:rsidRPr="00D43459" w:rsidRDefault="00305855" w:rsidP="00305855">
      <w:pPr>
        <w:pStyle w:val="Default"/>
        <w:rPr>
          <w:rFonts w:ascii="Calibri" w:hAnsi="Calibri"/>
          <w:sz w:val="22"/>
          <w:szCs w:val="22"/>
        </w:rPr>
      </w:pPr>
      <w:r w:rsidRPr="00D43459">
        <w:rPr>
          <w:rFonts w:ascii="Calibri" w:hAnsi="Calibri"/>
          <w:sz w:val="22"/>
          <w:szCs w:val="22"/>
        </w:rPr>
        <w:t>Males are far more likely to be involved in cycling</w:t>
      </w:r>
      <w:r w:rsidR="00274785">
        <w:rPr>
          <w:rFonts w:ascii="Calibri" w:hAnsi="Calibri"/>
          <w:sz w:val="22"/>
          <w:szCs w:val="22"/>
        </w:rPr>
        <w:t xml:space="preserve"> accidents than females. In 2020</w:t>
      </w:r>
      <w:r w:rsidR="00573342">
        <w:rPr>
          <w:rFonts w:ascii="Calibri" w:hAnsi="Calibri"/>
          <w:sz w:val="22"/>
          <w:szCs w:val="22"/>
        </w:rPr>
        <w:t>,</w:t>
      </w:r>
      <w:r w:rsidR="00274785">
        <w:rPr>
          <w:rFonts w:ascii="Calibri" w:hAnsi="Calibri"/>
          <w:sz w:val="22"/>
          <w:szCs w:val="22"/>
        </w:rPr>
        <w:t xml:space="preserve"> almost</w:t>
      </w:r>
      <w:r w:rsidR="000414E8">
        <w:rPr>
          <w:rFonts w:ascii="Calibri" w:hAnsi="Calibri"/>
          <w:sz w:val="22"/>
          <w:szCs w:val="22"/>
        </w:rPr>
        <w:t xml:space="preserve"> 8</w:t>
      </w:r>
      <w:r w:rsidR="00986D91">
        <w:rPr>
          <w:rFonts w:ascii="Calibri" w:hAnsi="Calibri"/>
          <w:sz w:val="22"/>
          <w:szCs w:val="22"/>
        </w:rPr>
        <w:t>2</w:t>
      </w:r>
      <w:r w:rsidR="000414E8">
        <w:rPr>
          <w:rFonts w:ascii="Calibri" w:hAnsi="Calibri"/>
          <w:sz w:val="22"/>
          <w:szCs w:val="22"/>
        </w:rPr>
        <w:t>%</w:t>
      </w:r>
      <w:r w:rsidR="0057092B">
        <w:rPr>
          <w:rFonts w:ascii="Calibri" w:hAnsi="Calibri"/>
          <w:sz w:val="22"/>
          <w:szCs w:val="22"/>
        </w:rPr>
        <w:t xml:space="preserve"> </w:t>
      </w:r>
      <w:r w:rsidR="00F12B5F">
        <w:rPr>
          <w:rFonts w:ascii="Calibri" w:hAnsi="Calibri"/>
          <w:sz w:val="22"/>
          <w:szCs w:val="22"/>
        </w:rPr>
        <w:t xml:space="preserve">of those </w:t>
      </w:r>
      <w:r w:rsidR="0057092B">
        <w:rPr>
          <w:rFonts w:ascii="Calibri" w:hAnsi="Calibri"/>
          <w:sz w:val="22"/>
          <w:szCs w:val="22"/>
        </w:rPr>
        <w:t>injured in a reported</w:t>
      </w:r>
      <w:r w:rsidR="000414E8">
        <w:rPr>
          <w:rFonts w:ascii="Calibri" w:hAnsi="Calibri"/>
          <w:sz w:val="22"/>
          <w:szCs w:val="22"/>
        </w:rPr>
        <w:t xml:space="preserve"> cycling</w:t>
      </w:r>
      <w:r w:rsidR="0057092B">
        <w:rPr>
          <w:rFonts w:ascii="Calibri" w:hAnsi="Calibri"/>
          <w:sz w:val="22"/>
          <w:szCs w:val="22"/>
        </w:rPr>
        <w:t xml:space="preserve"> road traffic accident were male</w:t>
      </w:r>
      <w:r w:rsidR="00D43459" w:rsidRPr="00D43459">
        <w:rPr>
          <w:rFonts w:ascii="Calibri" w:hAnsi="Calibri"/>
          <w:sz w:val="22"/>
          <w:szCs w:val="22"/>
        </w:rPr>
        <w:t>.</w:t>
      </w:r>
      <w:r w:rsidR="00986D91">
        <w:rPr>
          <w:rStyle w:val="FootnoteReference"/>
          <w:rFonts w:ascii="Calibri" w:hAnsi="Calibri"/>
          <w:sz w:val="22"/>
          <w:szCs w:val="22"/>
        </w:rPr>
        <w:footnoteReference w:id="5"/>
      </w:r>
    </w:p>
    <w:p w14:paraId="2498FDD9" w14:textId="77777777" w:rsidR="00573342" w:rsidRDefault="00573342" w:rsidP="00305855">
      <w:pPr>
        <w:pStyle w:val="Default"/>
        <w:rPr>
          <w:rFonts w:ascii="Calibri" w:hAnsi="Calibri"/>
          <w:sz w:val="22"/>
          <w:szCs w:val="22"/>
        </w:rPr>
      </w:pPr>
    </w:p>
    <w:p w14:paraId="1C4F3E9B" w14:textId="580EDE24" w:rsidR="00305855" w:rsidRPr="000F729D" w:rsidRDefault="000F729D" w:rsidP="00305855">
      <w:pPr>
        <w:pStyle w:val="Default"/>
        <w:rPr>
          <w:rFonts w:asciiTheme="minorHAnsi" w:hAnsiTheme="minorHAnsi" w:cstheme="minorHAnsi"/>
          <w:sz w:val="22"/>
          <w:szCs w:val="22"/>
        </w:rPr>
      </w:pPr>
      <w:r w:rsidRPr="000F729D">
        <w:rPr>
          <w:rFonts w:asciiTheme="minorHAnsi" w:hAnsiTheme="minorHAnsi" w:cstheme="minorHAnsi"/>
          <w:sz w:val="22"/>
          <w:szCs w:val="22"/>
        </w:rPr>
        <w:t>Almost 40 per cent</w:t>
      </w:r>
      <w:r w:rsidR="00305855" w:rsidRPr="000F729D">
        <w:rPr>
          <w:rFonts w:asciiTheme="minorHAnsi" w:hAnsiTheme="minorHAnsi" w:cstheme="minorHAnsi"/>
          <w:sz w:val="22"/>
          <w:szCs w:val="22"/>
        </w:rPr>
        <w:t xml:space="preserve"> of cyclists </w:t>
      </w:r>
      <w:r w:rsidRPr="000F729D">
        <w:rPr>
          <w:rFonts w:asciiTheme="minorHAnsi" w:hAnsiTheme="minorHAnsi" w:cstheme="minorHAnsi"/>
          <w:sz w:val="22"/>
          <w:szCs w:val="22"/>
        </w:rPr>
        <w:t>killed and 70 per cent of cyclists seriously</w:t>
      </w:r>
      <w:r w:rsidR="00274785" w:rsidRPr="000F729D">
        <w:rPr>
          <w:rFonts w:asciiTheme="minorHAnsi" w:hAnsiTheme="minorHAnsi" w:cstheme="minorHAnsi"/>
          <w:sz w:val="22"/>
          <w:szCs w:val="22"/>
        </w:rPr>
        <w:t xml:space="preserve"> injured are</w:t>
      </w:r>
      <w:r w:rsidR="00305855" w:rsidRPr="000F729D">
        <w:rPr>
          <w:rFonts w:asciiTheme="minorHAnsi" w:hAnsiTheme="minorHAnsi" w:cstheme="minorHAnsi"/>
          <w:sz w:val="22"/>
          <w:szCs w:val="22"/>
        </w:rPr>
        <w:t xml:space="preserve"> involved in collisions at, or near, a </w:t>
      </w:r>
      <w:r w:rsidRPr="000F729D">
        <w:rPr>
          <w:rFonts w:asciiTheme="minorHAnsi" w:hAnsiTheme="minorHAnsi" w:cstheme="minorHAnsi"/>
          <w:sz w:val="22"/>
          <w:szCs w:val="22"/>
        </w:rPr>
        <w:t>road junction</w:t>
      </w:r>
      <w:r w:rsidR="00305855" w:rsidRPr="000F729D">
        <w:rPr>
          <w:rFonts w:asciiTheme="minorHAnsi" w:hAnsiTheme="minorHAnsi" w:cstheme="minorHAnsi"/>
          <w:sz w:val="22"/>
          <w:szCs w:val="22"/>
        </w:rPr>
        <w:t>. Roundabouts are particularly dangerous junctions for cyclists. Not surprisingly, the severity of injuries suffered by cyclists increases with the speed limit, meaning that riders are more likely to suffer serious or fatal injuries on higher speed roads. Almost half of cyclist deaths occur on rural roads.</w:t>
      </w:r>
    </w:p>
    <w:p w14:paraId="272192CE" w14:textId="77777777" w:rsidR="00796FFE" w:rsidRPr="000F729D" w:rsidRDefault="00796FFE" w:rsidP="00305855">
      <w:pPr>
        <w:pStyle w:val="Default"/>
        <w:rPr>
          <w:rFonts w:asciiTheme="minorHAnsi" w:hAnsiTheme="minorHAnsi" w:cstheme="minorHAnsi"/>
        </w:rPr>
      </w:pPr>
    </w:p>
    <w:p w14:paraId="676A196C" w14:textId="66D8325A" w:rsidR="00305855" w:rsidRPr="000F729D" w:rsidRDefault="000F729D" w:rsidP="00305855">
      <w:pPr>
        <w:pStyle w:val="Default"/>
        <w:rPr>
          <w:rFonts w:asciiTheme="minorHAnsi" w:hAnsiTheme="minorHAnsi" w:cstheme="minorHAnsi"/>
          <w:sz w:val="22"/>
          <w:szCs w:val="22"/>
        </w:rPr>
      </w:pPr>
      <w:r w:rsidRPr="000F729D">
        <w:rPr>
          <w:rFonts w:asciiTheme="minorHAnsi" w:hAnsiTheme="minorHAnsi" w:cstheme="minorHAnsi"/>
          <w:sz w:val="22"/>
          <w:szCs w:val="22"/>
        </w:rPr>
        <w:t>The weekday peak time for pedal cyclist fatalities and serious injuries is from 7am to 10am and from 4pm to 7pm. During the weekend, there is a single peak around mid-morning (10 am to 12 noon) which gradually tails off during the afternoon and evening</w:t>
      </w:r>
      <w:r w:rsidRPr="000F729D">
        <w:rPr>
          <w:rStyle w:val="FootnoteReference"/>
          <w:rFonts w:asciiTheme="minorHAnsi" w:hAnsiTheme="minorHAnsi" w:cstheme="minorHAnsi"/>
          <w:sz w:val="22"/>
          <w:szCs w:val="22"/>
        </w:rPr>
        <w:footnoteReference w:id="6"/>
      </w:r>
      <w:r w:rsidRPr="000F729D">
        <w:rPr>
          <w:rFonts w:asciiTheme="minorHAnsi" w:hAnsiTheme="minorHAnsi" w:cstheme="minorHAnsi"/>
          <w:sz w:val="22"/>
          <w:szCs w:val="22"/>
        </w:rPr>
        <w:t>.</w:t>
      </w:r>
    </w:p>
    <w:p w14:paraId="75F5FF8F" w14:textId="011305E6" w:rsidR="001B2E23" w:rsidRPr="000F729D" w:rsidRDefault="001B2E23" w:rsidP="00305855">
      <w:pPr>
        <w:pStyle w:val="Default"/>
        <w:rPr>
          <w:rFonts w:asciiTheme="minorHAnsi" w:hAnsiTheme="minorHAnsi" w:cstheme="minorHAnsi"/>
          <w:sz w:val="22"/>
          <w:szCs w:val="22"/>
        </w:rPr>
      </w:pPr>
    </w:p>
    <w:p w14:paraId="7959F56D" w14:textId="343449ED" w:rsidR="001B2E23" w:rsidRPr="000F729D" w:rsidRDefault="00F60782" w:rsidP="00305855">
      <w:pPr>
        <w:pStyle w:val="Default"/>
        <w:rPr>
          <w:rFonts w:asciiTheme="minorHAnsi" w:hAnsiTheme="minorHAnsi" w:cstheme="minorHAnsi"/>
        </w:rPr>
      </w:pPr>
      <w:r w:rsidRPr="000F729D">
        <w:rPr>
          <w:rFonts w:asciiTheme="minorHAnsi" w:hAnsiTheme="minorHAnsi" w:cstheme="minorHAnsi"/>
          <w:sz w:val="22"/>
          <w:szCs w:val="22"/>
        </w:rPr>
        <w:t>Per billion vehicle miles</w:t>
      </w:r>
      <w:r w:rsidR="00FF5D41" w:rsidRPr="000F729D">
        <w:rPr>
          <w:rFonts w:asciiTheme="minorHAnsi" w:hAnsiTheme="minorHAnsi" w:cstheme="minorHAnsi"/>
          <w:sz w:val="22"/>
          <w:szCs w:val="22"/>
        </w:rPr>
        <w:t>, the casualty rate of pedal cyclists that are</w:t>
      </w:r>
      <w:r w:rsidR="001B2E23" w:rsidRPr="000F729D">
        <w:rPr>
          <w:rFonts w:asciiTheme="minorHAnsi" w:hAnsiTheme="minorHAnsi" w:cstheme="minorHAnsi"/>
          <w:sz w:val="22"/>
          <w:szCs w:val="22"/>
        </w:rPr>
        <w:t xml:space="preserve"> killed or serious</w:t>
      </w:r>
      <w:r w:rsidR="006036D1" w:rsidRPr="000F729D">
        <w:rPr>
          <w:rFonts w:asciiTheme="minorHAnsi" w:hAnsiTheme="minorHAnsi" w:cstheme="minorHAnsi"/>
          <w:sz w:val="22"/>
          <w:szCs w:val="22"/>
        </w:rPr>
        <w:t>ly injured</w:t>
      </w:r>
      <w:r w:rsidR="00274785" w:rsidRPr="000F729D">
        <w:rPr>
          <w:rFonts w:asciiTheme="minorHAnsi" w:hAnsiTheme="minorHAnsi" w:cstheme="minorHAnsi"/>
          <w:sz w:val="22"/>
          <w:szCs w:val="22"/>
        </w:rPr>
        <w:t xml:space="preserve"> is 866, compared to a rate of 29</w:t>
      </w:r>
      <w:r w:rsidR="00FF5D41" w:rsidRPr="000F729D">
        <w:rPr>
          <w:rFonts w:asciiTheme="minorHAnsi" w:hAnsiTheme="minorHAnsi" w:cstheme="minorHAnsi"/>
          <w:sz w:val="22"/>
          <w:szCs w:val="22"/>
        </w:rPr>
        <w:t xml:space="preserve"> for car drivers</w:t>
      </w:r>
      <w:r w:rsidR="0084000C" w:rsidRPr="000F729D">
        <w:rPr>
          <w:rFonts w:asciiTheme="minorHAnsi" w:hAnsiTheme="minorHAnsi" w:cstheme="minorHAnsi"/>
          <w:sz w:val="22"/>
          <w:szCs w:val="22"/>
        </w:rPr>
        <w:t>.</w:t>
      </w:r>
      <w:r w:rsidR="00986D91" w:rsidRPr="000F729D">
        <w:rPr>
          <w:rStyle w:val="FootnoteReference"/>
          <w:rFonts w:asciiTheme="minorHAnsi" w:hAnsiTheme="minorHAnsi" w:cstheme="minorHAnsi"/>
          <w:sz w:val="22"/>
          <w:szCs w:val="22"/>
        </w:rPr>
        <w:footnoteReference w:id="7"/>
      </w:r>
    </w:p>
    <w:p w14:paraId="0B2946C5" w14:textId="70FC76DB" w:rsidR="00305855" w:rsidRDefault="00305855" w:rsidP="00B414D9">
      <w:pPr>
        <w:pStyle w:val="Heading1"/>
        <w:numPr>
          <w:ilvl w:val="12"/>
          <w:numId w:val="0"/>
        </w:numPr>
        <w:spacing w:before="0"/>
        <w:jc w:val="both"/>
        <w:rPr>
          <w:szCs w:val="32"/>
        </w:rPr>
      </w:pPr>
    </w:p>
    <w:p w14:paraId="2068958A" w14:textId="673D8AD9" w:rsidR="001A27F8" w:rsidRDefault="001A27F8" w:rsidP="001A27F8"/>
    <w:p w14:paraId="3F049E1E" w14:textId="2F32C555" w:rsidR="001A27F8" w:rsidRDefault="001A27F8" w:rsidP="001A27F8"/>
    <w:p w14:paraId="49C91EF3" w14:textId="7D0640B7" w:rsidR="001A27F8" w:rsidRDefault="001A27F8" w:rsidP="001A27F8"/>
    <w:p w14:paraId="73EDB599" w14:textId="42F63C09" w:rsidR="000F729D" w:rsidRDefault="000F729D" w:rsidP="001A27F8"/>
    <w:p w14:paraId="7B6A0E2A" w14:textId="77777777" w:rsidR="000F729D" w:rsidRPr="001A27F8" w:rsidRDefault="000F729D" w:rsidP="001A27F8"/>
    <w:p w14:paraId="2F7AAF88" w14:textId="77777777" w:rsidR="000F729D" w:rsidRDefault="000F729D">
      <w:pPr>
        <w:spacing w:before="0" w:after="0"/>
        <w:contextualSpacing w:val="0"/>
        <w:jc w:val="left"/>
        <w:rPr>
          <w:rFonts w:eastAsia="Times New Roman"/>
          <w:b/>
          <w:bCs/>
          <w:color w:val="000062"/>
          <w:sz w:val="32"/>
          <w:szCs w:val="32"/>
        </w:rPr>
      </w:pPr>
      <w:r>
        <w:rPr>
          <w:szCs w:val="32"/>
        </w:rPr>
        <w:br w:type="page"/>
      </w:r>
    </w:p>
    <w:p w14:paraId="3378681A" w14:textId="1BE8B156" w:rsidR="00305855" w:rsidRPr="00796FFE" w:rsidRDefault="00993BA3" w:rsidP="00796FFE">
      <w:pPr>
        <w:pStyle w:val="Heading1"/>
        <w:numPr>
          <w:ilvl w:val="12"/>
          <w:numId w:val="0"/>
        </w:numPr>
        <w:spacing w:before="0"/>
        <w:jc w:val="both"/>
        <w:rPr>
          <w:szCs w:val="32"/>
        </w:rPr>
      </w:pPr>
      <w:r>
        <w:rPr>
          <w:szCs w:val="32"/>
        </w:rPr>
        <w:lastRenderedPageBreak/>
        <w:t>Cycling a</w:t>
      </w:r>
      <w:r w:rsidR="00305855">
        <w:rPr>
          <w:szCs w:val="32"/>
        </w:rPr>
        <w:t>ccidents</w:t>
      </w:r>
      <w:r w:rsidR="00007A83">
        <w:rPr>
          <w:rStyle w:val="FootnoteReference"/>
          <w:szCs w:val="32"/>
        </w:rPr>
        <w:footnoteReference w:id="8"/>
      </w:r>
    </w:p>
    <w:p w14:paraId="077E85C7" w14:textId="77777777" w:rsidR="000F729D" w:rsidRPr="000F729D" w:rsidRDefault="000F729D" w:rsidP="000F729D">
      <w:pPr>
        <w:spacing w:before="100" w:beforeAutospacing="1" w:after="100" w:afterAutospacing="1"/>
        <w:contextualSpacing w:val="0"/>
        <w:jc w:val="left"/>
        <w:rPr>
          <w:rFonts w:asciiTheme="minorHAnsi" w:eastAsia="Times New Roman" w:hAnsiTheme="minorHAnsi" w:cstheme="minorHAnsi"/>
          <w:lang w:eastAsia="en-GB"/>
        </w:rPr>
      </w:pPr>
      <w:r w:rsidRPr="000F729D">
        <w:rPr>
          <w:rFonts w:asciiTheme="minorHAnsi" w:eastAsia="Times New Roman" w:hAnsiTheme="minorHAnsi" w:cstheme="minorHAnsi"/>
          <w:lang w:eastAsia="en-GB"/>
        </w:rPr>
        <w:t>Averaged over the period 2015 to 2020:</w:t>
      </w:r>
    </w:p>
    <w:p w14:paraId="1BDEC52A" w14:textId="06F7728A" w:rsidR="000F729D" w:rsidRPr="000F729D" w:rsidRDefault="000F729D" w:rsidP="000F729D">
      <w:pPr>
        <w:numPr>
          <w:ilvl w:val="0"/>
          <w:numId w:val="28"/>
        </w:numPr>
        <w:spacing w:before="100" w:beforeAutospacing="1" w:after="100" w:afterAutospacing="1"/>
        <w:contextualSpacing w:val="0"/>
        <w:jc w:val="left"/>
        <w:rPr>
          <w:rFonts w:asciiTheme="minorHAnsi" w:eastAsia="Times New Roman" w:hAnsiTheme="minorHAnsi" w:cstheme="minorHAnsi"/>
          <w:lang w:eastAsia="en-GB"/>
        </w:rPr>
      </w:pPr>
      <w:r w:rsidRPr="00CC23EC">
        <w:rPr>
          <w:rFonts w:asciiTheme="minorHAnsi" w:eastAsia="Times New Roman" w:hAnsiTheme="minorHAnsi" w:cstheme="minorHAnsi"/>
          <w:lang w:eastAsia="en-GB"/>
        </w:rPr>
        <w:t>an average of two</w:t>
      </w:r>
      <w:r w:rsidRPr="000F729D">
        <w:rPr>
          <w:rFonts w:asciiTheme="minorHAnsi" w:eastAsia="Times New Roman" w:hAnsiTheme="minorHAnsi" w:cstheme="minorHAnsi"/>
          <w:lang w:eastAsia="en-GB"/>
        </w:rPr>
        <w:t xml:space="preserve"> pedal cyclists died and 83 w</w:t>
      </w:r>
      <w:r w:rsidR="00CC23EC" w:rsidRPr="00CC23EC">
        <w:rPr>
          <w:rFonts w:asciiTheme="minorHAnsi" w:eastAsia="Times New Roman" w:hAnsiTheme="minorHAnsi" w:cstheme="minorHAnsi"/>
          <w:lang w:eastAsia="en-GB"/>
        </w:rPr>
        <w:t>ere seriously injured</w:t>
      </w:r>
      <w:r w:rsidRPr="000F729D">
        <w:rPr>
          <w:rFonts w:asciiTheme="minorHAnsi" w:eastAsia="Times New Roman" w:hAnsiTheme="minorHAnsi" w:cstheme="minorHAnsi"/>
          <w:lang w:eastAsia="en-GB"/>
        </w:rPr>
        <w:t xml:space="preserve"> per week in reported road casualties</w:t>
      </w:r>
    </w:p>
    <w:p w14:paraId="4C3E93A1" w14:textId="77777777" w:rsidR="000F729D" w:rsidRPr="000F729D" w:rsidRDefault="000F729D" w:rsidP="000F729D">
      <w:pPr>
        <w:numPr>
          <w:ilvl w:val="0"/>
          <w:numId w:val="28"/>
        </w:numPr>
        <w:spacing w:before="100" w:beforeAutospacing="1" w:after="100" w:afterAutospacing="1"/>
        <w:contextualSpacing w:val="0"/>
        <w:jc w:val="left"/>
        <w:rPr>
          <w:rFonts w:asciiTheme="minorHAnsi" w:eastAsia="Times New Roman" w:hAnsiTheme="minorHAnsi" w:cstheme="minorHAnsi"/>
          <w:lang w:eastAsia="en-GB"/>
        </w:rPr>
      </w:pPr>
      <w:r w:rsidRPr="000F729D">
        <w:rPr>
          <w:rFonts w:asciiTheme="minorHAnsi" w:eastAsia="Times New Roman" w:hAnsiTheme="minorHAnsi" w:cstheme="minorHAnsi"/>
          <w:lang w:eastAsia="en-GB"/>
        </w:rPr>
        <w:t>a majority of pedal cycle fatalities (59%) do not occur at or within 20m of a junction compared to 32% of all seriously injured (adjusted) casualties</w:t>
      </w:r>
    </w:p>
    <w:p w14:paraId="17B26A3F" w14:textId="17AAAA89" w:rsidR="000F729D" w:rsidRPr="000F729D" w:rsidRDefault="000F729D" w:rsidP="000F729D">
      <w:pPr>
        <w:numPr>
          <w:ilvl w:val="0"/>
          <w:numId w:val="28"/>
        </w:numPr>
        <w:spacing w:before="100" w:beforeAutospacing="1" w:after="100" w:afterAutospacing="1"/>
        <w:contextualSpacing w:val="0"/>
        <w:jc w:val="left"/>
        <w:rPr>
          <w:rFonts w:asciiTheme="minorHAnsi" w:eastAsia="Times New Roman" w:hAnsiTheme="minorHAnsi" w:cstheme="minorHAnsi"/>
          <w:lang w:eastAsia="en-GB"/>
        </w:rPr>
      </w:pPr>
      <w:r w:rsidRPr="000F729D">
        <w:rPr>
          <w:rFonts w:asciiTheme="minorHAnsi" w:eastAsia="Times New Roman" w:hAnsiTheme="minorHAnsi" w:cstheme="minorHAnsi"/>
          <w:lang w:eastAsia="en-GB"/>
        </w:rPr>
        <w:t>almost half (46%</w:t>
      </w:r>
      <w:r w:rsidR="00CC23EC" w:rsidRPr="00CC23EC">
        <w:rPr>
          <w:rFonts w:asciiTheme="minorHAnsi" w:eastAsia="Times New Roman" w:hAnsiTheme="minorHAnsi" w:cstheme="minorHAnsi"/>
          <w:lang w:eastAsia="en-GB"/>
        </w:rPr>
        <w:t>) of pedal cycle fatalities in two</w:t>
      </w:r>
      <w:r w:rsidRPr="000F729D">
        <w:rPr>
          <w:rFonts w:asciiTheme="minorHAnsi" w:eastAsia="Times New Roman" w:hAnsiTheme="minorHAnsi" w:cstheme="minorHAnsi"/>
          <w:lang w:eastAsia="en-GB"/>
        </w:rPr>
        <w:t xml:space="preserve"> vehicle accidents involved a car</w:t>
      </w:r>
    </w:p>
    <w:p w14:paraId="32A2B5CC" w14:textId="77777777" w:rsidR="000F729D" w:rsidRPr="000F729D" w:rsidRDefault="000F729D" w:rsidP="000F729D">
      <w:pPr>
        <w:numPr>
          <w:ilvl w:val="0"/>
          <w:numId w:val="28"/>
        </w:numPr>
        <w:spacing w:before="100" w:beforeAutospacing="1" w:after="100" w:afterAutospacing="1"/>
        <w:contextualSpacing w:val="0"/>
        <w:jc w:val="left"/>
        <w:rPr>
          <w:rFonts w:asciiTheme="minorHAnsi" w:eastAsia="Times New Roman" w:hAnsiTheme="minorHAnsi" w:cstheme="minorHAnsi"/>
          <w:lang w:eastAsia="en-GB"/>
        </w:rPr>
      </w:pPr>
      <w:r w:rsidRPr="000F729D">
        <w:rPr>
          <w:rFonts w:asciiTheme="minorHAnsi" w:eastAsia="Times New Roman" w:hAnsiTheme="minorHAnsi" w:cstheme="minorHAnsi"/>
          <w:lang w:eastAsia="en-GB"/>
        </w:rPr>
        <w:t>56% of pedal cycle fatalities occurred on rural roads compared to 29% of traffic</w:t>
      </w:r>
    </w:p>
    <w:p w14:paraId="272534D1" w14:textId="2DEEA518" w:rsidR="000F729D" w:rsidRPr="000F729D" w:rsidRDefault="000F729D" w:rsidP="000F729D">
      <w:pPr>
        <w:numPr>
          <w:ilvl w:val="0"/>
          <w:numId w:val="28"/>
        </w:numPr>
        <w:spacing w:before="100" w:beforeAutospacing="1" w:after="100" w:afterAutospacing="1"/>
        <w:contextualSpacing w:val="0"/>
        <w:jc w:val="left"/>
        <w:rPr>
          <w:rFonts w:asciiTheme="minorHAnsi" w:eastAsia="Times New Roman" w:hAnsiTheme="minorHAnsi" w:cstheme="minorHAnsi"/>
          <w:lang w:eastAsia="en-GB"/>
        </w:rPr>
      </w:pPr>
      <w:r w:rsidRPr="000F729D">
        <w:rPr>
          <w:rFonts w:asciiTheme="minorHAnsi" w:eastAsia="Times New Roman" w:hAnsiTheme="minorHAnsi" w:cstheme="minorHAnsi"/>
          <w:lang w:eastAsia="en-GB"/>
        </w:rPr>
        <w:t>83% of pedal cycle k</w:t>
      </w:r>
      <w:r w:rsidR="00CC23EC" w:rsidRPr="00CC23EC">
        <w:rPr>
          <w:rFonts w:asciiTheme="minorHAnsi" w:eastAsia="Times New Roman" w:hAnsiTheme="minorHAnsi" w:cstheme="minorHAnsi"/>
          <w:lang w:eastAsia="en-GB"/>
        </w:rPr>
        <w:t>illed or seriously injured</w:t>
      </w:r>
      <w:r w:rsidRPr="000F729D">
        <w:rPr>
          <w:rFonts w:asciiTheme="minorHAnsi" w:eastAsia="Times New Roman" w:hAnsiTheme="minorHAnsi" w:cstheme="minorHAnsi"/>
          <w:lang w:eastAsia="en-GB"/>
        </w:rPr>
        <w:t xml:space="preserve"> casualties were male</w:t>
      </w:r>
    </w:p>
    <w:p w14:paraId="59680A5E" w14:textId="09A9A0DE" w:rsidR="000F729D" w:rsidRPr="000F729D" w:rsidRDefault="000F729D" w:rsidP="000F729D">
      <w:pPr>
        <w:spacing w:before="100" w:beforeAutospacing="1" w:after="100" w:afterAutospacing="1"/>
        <w:contextualSpacing w:val="0"/>
        <w:jc w:val="left"/>
        <w:rPr>
          <w:rFonts w:asciiTheme="minorHAnsi" w:eastAsia="Times New Roman" w:hAnsiTheme="minorHAnsi" w:cstheme="minorHAnsi"/>
          <w:lang w:eastAsia="en-GB"/>
        </w:rPr>
      </w:pPr>
      <w:r w:rsidRPr="000F729D">
        <w:rPr>
          <w:rFonts w:asciiTheme="minorHAnsi" w:eastAsia="Times New Roman" w:hAnsiTheme="minorHAnsi" w:cstheme="minorHAnsi"/>
          <w:lang w:eastAsia="en-GB"/>
        </w:rPr>
        <w:t xml:space="preserve">The most common contributory factor allocated to pedal cyclists in </w:t>
      </w:r>
      <w:r w:rsidR="00CC23EC" w:rsidRPr="00CC23EC">
        <w:rPr>
          <w:rFonts w:asciiTheme="minorHAnsi" w:eastAsia="Times New Roman" w:hAnsiTheme="minorHAnsi" w:cstheme="minorHAnsi"/>
          <w:lang w:eastAsia="en-GB"/>
        </w:rPr>
        <w:t>fatal or serious accidents</w:t>
      </w:r>
      <w:r w:rsidRPr="000F729D">
        <w:rPr>
          <w:rFonts w:asciiTheme="minorHAnsi" w:eastAsia="Times New Roman" w:hAnsiTheme="minorHAnsi" w:cstheme="minorHAnsi"/>
          <w:lang w:eastAsia="en-GB"/>
        </w:rPr>
        <w:t xml:space="preserve"> with another vehicle was ‘Driver or rider failed to look properly’.</w:t>
      </w:r>
    </w:p>
    <w:p w14:paraId="74A65F22" w14:textId="77777777" w:rsidR="002E2A15" w:rsidRDefault="002E2A15" w:rsidP="002E2A15">
      <w:pPr>
        <w:pStyle w:val="ListParagraph"/>
        <w:numPr>
          <w:ilvl w:val="0"/>
          <w:numId w:val="0"/>
        </w:numPr>
        <w:rPr>
          <w:lang w:eastAsia="en-GB"/>
        </w:rPr>
      </w:pPr>
    </w:p>
    <w:p w14:paraId="2D9C8B5F" w14:textId="77777777" w:rsidR="002E2A15" w:rsidRDefault="002E2A15" w:rsidP="002E2A15">
      <w:pPr>
        <w:pStyle w:val="Heading1"/>
        <w:rPr>
          <w:lang w:eastAsia="en-GB"/>
        </w:rPr>
      </w:pPr>
      <w:r>
        <w:rPr>
          <w:lang w:eastAsia="en-GB"/>
        </w:rPr>
        <w:t>Use of cycling apps</w:t>
      </w:r>
    </w:p>
    <w:p w14:paraId="699B8444" w14:textId="77777777" w:rsidR="00213693" w:rsidRDefault="00213693" w:rsidP="00213693">
      <w:pPr>
        <w:pStyle w:val="ListParagraph"/>
        <w:numPr>
          <w:ilvl w:val="0"/>
          <w:numId w:val="0"/>
        </w:numPr>
        <w:rPr>
          <w:rFonts w:eastAsia="Calibri" w:cs="Times New Roman"/>
          <w:bCs w:val="0"/>
          <w:color w:val="auto"/>
          <w:lang w:val="en-GB" w:eastAsia="en-GB"/>
        </w:rPr>
      </w:pPr>
    </w:p>
    <w:p w14:paraId="0E2E0CDB" w14:textId="77777777" w:rsidR="009044FB" w:rsidRDefault="009044FB" w:rsidP="00213693">
      <w:pPr>
        <w:pStyle w:val="ListParagraph"/>
        <w:numPr>
          <w:ilvl w:val="0"/>
          <w:numId w:val="0"/>
        </w:numPr>
        <w:rPr>
          <w:rFonts w:eastAsia="Calibri" w:cs="Times New Roman"/>
          <w:bCs w:val="0"/>
          <w:color w:val="auto"/>
          <w:lang w:val="en-GB" w:eastAsia="en-GB"/>
        </w:rPr>
      </w:pPr>
      <w:r>
        <w:rPr>
          <w:rFonts w:eastAsia="Calibri" w:cs="Times New Roman"/>
          <w:bCs w:val="0"/>
          <w:color w:val="auto"/>
          <w:lang w:val="en-GB" w:eastAsia="en-GB"/>
        </w:rPr>
        <w:t>There is a huge range of apps available for cyclists to use to track their rides on their smartphones. Although</w:t>
      </w:r>
      <w:r w:rsidR="00E76FB4">
        <w:rPr>
          <w:rFonts w:eastAsia="Calibri" w:cs="Times New Roman"/>
          <w:bCs w:val="0"/>
          <w:color w:val="auto"/>
          <w:lang w:val="en-GB" w:eastAsia="en-GB"/>
        </w:rPr>
        <w:t xml:space="preserve"> used well,</w:t>
      </w:r>
      <w:r>
        <w:rPr>
          <w:rFonts w:eastAsia="Calibri" w:cs="Times New Roman"/>
          <w:bCs w:val="0"/>
          <w:color w:val="auto"/>
          <w:lang w:val="en-GB" w:eastAsia="en-GB"/>
        </w:rPr>
        <w:t xml:space="preserve"> cycling apps can be useful for their features such as route planning and activity tracking, </w:t>
      </w:r>
      <w:r w:rsidR="00E76FB4">
        <w:rPr>
          <w:rFonts w:eastAsia="Calibri" w:cs="Times New Roman"/>
          <w:bCs w:val="0"/>
          <w:color w:val="auto"/>
          <w:lang w:val="en-GB" w:eastAsia="en-GB"/>
        </w:rPr>
        <w:t xml:space="preserve">used badly, </w:t>
      </w:r>
      <w:r>
        <w:rPr>
          <w:rFonts w:eastAsia="Calibri" w:cs="Times New Roman"/>
          <w:bCs w:val="0"/>
          <w:color w:val="auto"/>
          <w:lang w:val="en-GB" w:eastAsia="en-GB"/>
        </w:rPr>
        <w:t>they can be distracting. RoSPA believes it is vital that cyclists use these apps sensibly, considering not only their own safety but that of other road users.</w:t>
      </w:r>
    </w:p>
    <w:p w14:paraId="17AFF378" w14:textId="77777777" w:rsidR="009044FB" w:rsidRDefault="009044FB" w:rsidP="00213693">
      <w:pPr>
        <w:pStyle w:val="ListParagraph"/>
        <w:numPr>
          <w:ilvl w:val="0"/>
          <w:numId w:val="0"/>
        </w:numPr>
        <w:rPr>
          <w:rFonts w:eastAsia="Calibri" w:cs="Times New Roman"/>
          <w:bCs w:val="0"/>
          <w:color w:val="auto"/>
          <w:lang w:val="en-GB" w:eastAsia="en-GB"/>
        </w:rPr>
      </w:pPr>
    </w:p>
    <w:p w14:paraId="541C0820" w14:textId="77777777" w:rsidR="009044FB" w:rsidRDefault="009044FB" w:rsidP="00213693">
      <w:pPr>
        <w:pStyle w:val="ListParagraph"/>
        <w:numPr>
          <w:ilvl w:val="0"/>
          <w:numId w:val="0"/>
        </w:numPr>
        <w:rPr>
          <w:rFonts w:eastAsia="Calibri" w:cs="Times New Roman"/>
          <w:bCs w:val="0"/>
          <w:color w:val="auto"/>
          <w:lang w:val="en-GB" w:eastAsia="en-GB"/>
        </w:rPr>
      </w:pPr>
      <w:r>
        <w:rPr>
          <w:rFonts w:eastAsia="Calibri" w:cs="Times New Roman"/>
          <w:bCs w:val="0"/>
          <w:color w:val="auto"/>
          <w:lang w:val="en-GB" w:eastAsia="en-GB"/>
        </w:rPr>
        <w:t>Cyclists should not become distracted by apps on their smartphone, and when using a cycling app they should continue to use their observation skills, adapting their cycling to the conditions around them and travelling at an appropriate speed.</w:t>
      </w:r>
    </w:p>
    <w:p w14:paraId="5270A30B" w14:textId="77777777" w:rsidR="009044FB" w:rsidRDefault="009044FB" w:rsidP="00213693">
      <w:pPr>
        <w:pStyle w:val="ListParagraph"/>
        <w:numPr>
          <w:ilvl w:val="0"/>
          <w:numId w:val="0"/>
        </w:numPr>
      </w:pPr>
    </w:p>
    <w:p w14:paraId="057729DE" w14:textId="77777777" w:rsidR="00FF7162" w:rsidRDefault="00FF7162">
      <w:pPr>
        <w:spacing w:before="0" w:after="0"/>
        <w:contextualSpacing w:val="0"/>
        <w:jc w:val="left"/>
        <w:rPr>
          <w:rFonts w:eastAsia="Times New Roman"/>
          <w:b/>
          <w:bCs/>
          <w:color w:val="000062"/>
          <w:sz w:val="32"/>
          <w:szCs w:val="32"/>
        </w:rPr>
      </w:pPr>
      <w:r>
        <w:rPr>
          <w:szCs w:val="32"/>
        </w:rPr>
        <w:br w:type="page"/>
      </w:r>
    </w:p>
    <w:p w14:paraId="462BBAA8" w14:textId="18B8D2AE" w:rsidR="00305855" w:rsidRDefault="00993BA3" w:rsidP="00305855">
      <w:pPr>
        <w:pStyle w:val="Heading1"/>
        <w:numPr>
          <w:ilvl w:val="12"/>
          <w:numId w:val="0"/>
        </w:numPr>
        <w:spacing w:before="0"/>
        <w:jc w:val="both"/>
        <w:rPr>
          <w:szCs w:val="32"/>
        </w:rPr>
      </w:pPr>
      <w:r>
        <w:rPr>
          <w:szCs w:val="32"/>
        </w:rPr>
        <w:lastRenderedPageBreak/>
        <w:t>Types of a</w:t>
      </w:r>
      <w:r w:rsidR="00401DAF">
        <w:rPr>
          <w:szCs w:val="32"/>
        </w:rPr>
        <w:t>ccident</w:t>
      </w:r>
      <w:r w:rsidR="00CC23EC">
        <w:rPr>
          <w:rStyle w:val="FootnoteReference"/>
          <w:szCs w:val="32"/>
        </w:rPr>
        <w:footnoteReference w:id="9"/>
      </w:r>
    </w:p>
    <w:p w14:paraId="16A49AD2" w14:textId="77777777" w:rsidR="00305855" w:rsidRDefault="00305855" w:rsidP="00213693">
      <w:pPr>
        <w:pStyle w:val="ListParagraph"/>
        <w:numPr>
          <w:ilvl w:val="0"/>
          <w:numId w:val="0"/>
        </w:numPr>
      </w:pPr>
    </w:p>
    <w:p w14:paraId="43D43152" w14:textId="7FF0B2A6" w:rsidR="00305855" w:rsidRDefault="00305855" w:rsidP="00213693">
      <w:pPr>
        <w:pStyle w:val="ListParagraph"/>
        <w:numPr>
          <w:ilvl w:val="0"/>
          <w:numId w:val="0"/>
        </w:numPr>
      </w:pPr>
      <w:r w:rsidRPr="0098068A">
        <w:t>Human error is the main contributory factor involving cyclist collisions. Driver/rider error was the most frequently reported rea</w:t>
      </w:r>
      <w:r w:rsidR="00274785">
        <w:t>son for 65</w:t>
      </w:r>
      <w:r w:rsidR="00FF7162">
        <w:t xml:space="preserve"> per cent</w:t>
      </w:r>
      <w:r w:rsidRPr="0098068A">
        <w:t xml:space="preserve"> of all reported </w:t>
      </w:r>
      <w:r w:rsidR="00274785">
        <w:t>accidents in 2020</w:t>
      </w:r>
      <w:r w:rsidRPr="0098068A">
        <w:t>.</w:t>
      </w:r>
      <w:r w:rsidR="00007A83">
        <w:rPr>
          <w:rStyle w:val="FootnoteReference"/>
        </w:rPr>
        <w:footnoteReference w:id="10"/>
      </w:r>
    </w:p>
    <w:p w14:paraId="3E74F81F" w14:textId="77777777" w:rsidR="00305855" w:rsidRDefault="00305855" w:rsidP="00213693">
      <w:pPr>
        <w:pStyle w:val="ListParagraph"/>
        <w:numPr>
          <w:ilvl w:val="0"/>
          <w:numId w:val="0"/>
        </w:numPr>
      </w:pPr>
    </w:p>
    <w:p w14:paraId="285F953B" w14:textId="397468D4" w:rsidR="00305855" w:rsidRDefault="00305855" w:rsidP="00213693">
      <w:pPr>
        <w:pStyle w:val="ListParagraph"/>
        <w:numPr>
          <w:ilvl w:val="0"/>
          <w:numId w:val="0"/>
        </w:numPr>
      </w:pPr>
      <w:r>
        <w:t>Accidents involving child cyclists are often the result of the child playing, doing tricks, riding too fast or losing control. For teenage and adult cyclists, accidents are more likely to involve collisions wit</w:t>
      </w:r>
      <w:r w:rsidR="00CC23EC">
        <w:t>h motor vehicles, but a proportion</w:t>
      </w:r>
      <w:r>
        <w:t xml:space="preserve"> of fatal or serious cyclist accidents reported to the police do not involve a collision with another vehicle, but are caused by the rider losing control of their bicycle.</w:t>
      </w:r>
    </w:p>
    <w:p w14:paraId="75ECB559" w14:textId="77777777" w:rsidR="00305855" w:rsidRDefault="00305855" w:rsidP="00213693">
      <w:pPr>
        <w:pStyle w:val="ListParagraph"/>
        <w:numPr>
          <w:ilvl w:val="0"/>
          <w:numId w:val="0"/>
        </w:numPr>
      </w:pPr>
    </w:p>
    <w:p w14:paraId="14F60B06" w14:textId="2E291A8F" w:rsidR="00305855" w:rsidRDefault="00305855" w:rsidP="00213693">
      <w:pPr>
        <w:pStyle w:val="ListParagraph"/>
        <w:numPr>
          <w:ilvl w:val="0"/>
          <w:numId w:val="0"/>
        </w:numPr>
      </w:pPr>
      <w:r>
        <w:t>In collisions involving a bicycle and another vehicle, the most common key contributory factor recorded by the police is ‘failed to look properly’ by either the driver or rider, especially at junctions. ‘Failed to look properly’ was att</w:t>
      </w:r>
      <w:r w:rsidR="00FF7162">
        <w:t>ributed to the car driver in 57 per cent</w:t>
      </w:r>
      <w:r>
        <w:t xml:space="preserve"> of serious collisions and to the cyclis</w:t>
      </w:r>
      <w:r w:rsidR="00FF7162">
        <w:t>t in 43 per cent</w:t>
      </w:r>
      <w:r>
        <w:t xml:space="preserve"> of</w:t>
      </w:r>
      <w:r w:rsidR="002C7E07">
        <w:t xml:space="preserve"> serious collisions at junctions.</w:t>
      </w:r>
    </w:p>
    <w:p w14:paraId="3E11AA0A" w14:textId="77777777" w:rsidR="00305855" w:rsidRDefault="00305855" w:rsidP="00213693">
      <w:pPr>
        <w:pStyle w:val="ListParagraph"/>
        <w:numPr>
          <w:ilvl w:val="0"/>
          <w:numId w:val="0"/>
        </w:numPr>
      </w:pPr>
    </w:p>
    <w:p w14:paraId="46B518B3" w14:textId="6C9CEC74" w:rsidR="00305855" w:rsidRDefault="00305855" w:rsidP="00213693">
      <w:pPr>
        <w:pStyle w:val="ListParagraph"/>
        <w:numPr>
          <w:ilvl w:val="0"/>
          <w:numId w:val="0"/>
        </w:numPr>
      </w:pPr>
      <w:r>
        <w:t>Other common contributory factors attributed to drivers a</w:t>
      </w:r>
      <w:r w:rsidR="00FF7162">
        <w:t>re ‘poor turn/manoeuvre’ (in 17 per cent</w:t>
      </w:r>
      <w:r>
        <w:t xml:space="preserve"> of serious accidents involving a cyclist) and ‘car</w:t>
      </w:r>
      <w:r w:rsidR="00FF7162">
        <w:t>eless, reckless, in a hurry (17 per cent</w:t>
      </w:r>
      <w:r>
        <w:t>). Cyclists are more likely to suffer serious injuries when a driver is judged to be ‘impaired by alcohol’, exceeding the speed limit’ or ‘travelling too fast for the conditions’.</w:t>
      </w:r>
    </w:p>
    <w:p w14:paraId="2C81676A" w14:textId="77777777" w:rsidR="00305855" w:rsidRDefault="00305855" w:rsidP="00213693">
      <w:pPr>
        <w:pStyle w:val="ListParagraph"/>
        <w:numPr>
          <w:ilvl w:val="0"/>
          <w:numId w:val="0"/>
        </w:numPr>
      </w:pPr>
    </w:p>
    <w:p w14:paraId="7B6925EB" w14:textId="74B22E24" w:rsidR="00305855" w:rsidRDefault="00305855" w:rsidP="00213693">
      <w:pPr>
        <w:pStyle w:val="ListParagraph"/>
        <w:numPr>
          <w:ilvl w:val="0"/>
          <w:numId w:val="0"/>
        </w:numPr>
      </w:pPr>
      <w:r>
        <w:t>The second most common contributory factor attributed to cyclists was ‘cyclist entering the road from the pavement’ (including when a cyclist crosses the road at a pedestrian crossing),</w:t>
      </w:r>
      <w:r w:rsidR="00FF7162">
        <w:t xml:space="preserve"> which was recorded in about 20 per cent</w:t>
      </w:r>
      <w:r>
        <w:t xml:space="preserve"> serious collisions (and over one third of serious collisions involving child cyclists).</w:t>
      </w:r>
    </w:p>
    <w:p w14:paraId="0BE0B577" w14:textId="77777777" w:rsidR="00305855" w:rsidRDefault="00305855" w:rsidP="00213693">
      <w:pPr>
        <w:pStyle w:val="ListParagraph"/>
        <w:numPr>
          <w:ilvl w:val="0"/>
          <w:numId w:val="0"/>
        </w:numPr>
      </w:pPr>
    </w:p>
    <w:p w14:paraId="469E4AE8" w14:textId="77777777" w:rsidR="00305855" w:rsidRDefault="00305855" w:rsidP="00213693">
      <w:pPr>
        <w:pStyle w:val="ListParagraph"/>
        <w:numPr>
          <w:ilvl w:val="0"/>
          <w:numId w:val="0"/>
        </w:numPr>
      </w:pPr>
      <w:r>
        <w:t>The most common vehicle involved in collisions with cyclists is a car or taxi, with the rider usually being hit by the front of the vehicle. In a quarter of fatal cyclist accidents, the front of the vehicle hit the rear of the bicycle.</w:t>
      </w:r>
    </w:p>
    <w:p w14:paraId="41AC745B" w14:textId="77777777" w:rsidR="00305855" w:rsidRDefault="00305855" w:rsidP="00213693">
      <w:pPr>
        <w:pStyle w:val="ListParagraph"/>
        <w:numPr>
          <w:ilvl w:val="0"/>
          <w:numId w:val="0"/>
        </w:numPr>
      </w:pPr>
    </w:p>
    <w:p w14:paraId="0FF8AB3E" w14:textId="588A9BEA" w:rsidR="00305855" w:rsidRDefault="00305855" w:rsidP="00213693">
      <w:pPr>
        <w:pStyle w:val="ListParagraph"/>
        <w:numPr>
          <w:ilvl w:val="0"/>
          <w:numId w:val="0"/>
        </w:numPr>
      </w:pPr>
      <w:r>
        <w:t>However, heavy goods vehicles (HGVs) present a particular danger for cyclists, espec</w:t>
      </w:r>
      <w:r w:rsidR="00FF7162">
        <w:t>ially in London where around 20 per cent</w:t>
      </w:r>
      <w:r>
        <w:t xml:space="preserve"> of cyclist fatalities occur involve an HGV</w:t>
      </w:r>
      <w:r w:rsidR="008A363E">
        <w:t xml:space="preserve">. This is </w:t>
      </w:r>
      <w:r w:rsidR="008A6B70">
        <w:t xml:space="preserve">despite </w:t>
      </w:r>
      <w:r w:rsidR="008A363E">
        <w:t xml:space="preserve">HGVs </w:t>
      </w:r>
      <w:r w:rsidR="00FF7162">
        <w:t xml:space="preserve">accounting for only 4 per </w:t>
      </w:r>
      <w:r w:rsidR="00FF7162">
        <w:lastRenderedPageBreak/>
        <w:t>cent</w:t>
      </w:r>
      <w:r w:rsidR="008A6B70">
        <w:t xml:space="preserve"> of vehicle kilometres on London’s roads in 2012</w:t>
      </w:r>
      <w:r>
        <w:t>.</w:t>
      </w:r>
      <w:r w:rsidR="00007A83">
        <w:rPr>
          <w:rStyle w:val="FootnoteReference"/>
        </w:rPr>
        <w:footnoteReference w:id="11"/>
      </w:r>
      <w:r>
        <w:t xml:space="preserve"> These often occur when an HGV is turning left at a junction’. About one quarter of accidents resulting in serious injury to a cyclist involved an HGV, bus or coach ‘passing too close’ to the rider.</w:t>
      </w:r>
    </w:p>
    <w:p w14:paraId="51CE1761" w14:textId="77777777" w:rsidR="00305855" w:rsidRDefault="00305855" w:rsidP="00213693">
      <w:pPr>
        <w:pStyle w:val="ListParagraph"/>
        <w:numPr>
          <w:ilvl w:val="0"/>
          <w:numId w:val="0"/>
        </w:numPr>
      </w:pPr>
    </w:p>
    <w:p w14:paraId="6A63C45E" w14:textId="77777777" w:rsidR="00993BA3" w:rsidRDefault="00993BA3" w:rsidP="00993BA3">
      <w:pPr>
        <w:pStyle w:val="Heading1"/>
        <w:numPr>
          <w:ilvl w:val="12"/>
          <w:numId w:val="0"/>
        </w:numPr>
        <w:spacing w:before="0"/>
        <w:jc w:val="both"/>
        <w:rPr>
          <w:szCs w:val="32"/>
        </w:rPr>
      </w:pPr>
      <w:r>
        <w:rPr>
          <w:szCs w:val="32"/>
        </w:rPr>
        <w:t xml:space="preserve">Common cycling accidents </w:t>
      </w:r>
    </w:p>
    <w:p w14:paraId="10714C14" w14:textId="77777777" w:rsidR="00305855" w:rsidRDefault="00305855" w:rsidP="00213693">
      <w:pPr>
        <w:pStyle w:val="ListParagraph"/>
        <w:numPr>
          <w:ilvl w:val="0"/>
          <w:numId w:val="0"/>
        </w:numPr>
      </w:pPr>
    </w:p>
    <w:p w14:paraId="65804D64" w14:textId="77777777" w:rsidR="0021276E" w:rsidRPr="007C6ADC" w:rsidRDefault="0021276E" w:rsidP="007C6ADC">
      <w:pPr>
        <w:pStyle w:val="Default"/>
        <w:numPr>
          <w:ilvl w:val="0"/>
          <w:numId w:val="25"/>
        </w:numPr>
        <w:rPr>
          <w:rFonts w:ascii="Calibri" w:hAnsi="Calibri"/>
          <w:sz w:val="22"/>
          <w:szCs w:val="22"/>
        </w:rPr>
      </w:pPr>
      <w:r w:rsidRPr="007C6ADC">
        <w:rPr>
          <w:rFonts w:ascii="Calibri" w:hAnsi="Calibri"/>
          <w:sz w:val="22"/>
          <w:szCs w:val="22"/>
        </w:rPr>
        <w:t xml:space="preserve">Motorist emerging into path of cyclist </w:t>
      </w:r>
    </w:p>
    <w:p w14:paraId="0625E307" w14:textId="77777777" w:rsidR="0021276E" w:rsidRPr="007C6ADC" w:rsidRDefault="0021276E" w:rsidP="0021276E">
      <w:pPr>
        <w:pStyle w:val="Default"/>
        <w:rPr>
          <w:rFonts w:ascii="Calibri" w:hAnsi="Calibri"/>
          <w:sz w:val="22"/>
          <w:szCs w:val="22"/>
        </w:rPr>
      </w:pPr>
    </w:p>
    <w:p w14:paraId="76833405" w14:textId="77777777" w:rsidR="0021276E" w:rsidRPr="007C6ADC" w:rsidRDefault="0021276E" w:rsidP="007C6ADC">
      <w:pPr>
        <w:pStyle w:val="Default"/>
        <w:numPr>
          <w:ilvl w:val="0"/>
          <w:numId w:val="25"/>
        </w:numPr>
        <w:rPr>
          <w:rFonts w:ascii="Calibri" w:hAnsi="Calibri"/>
          <w:sz w:val="22"/>
          <w:szCs w:val="22"/>
        </w:rPr>
      </w:pPr>
      <w:r w:rsidRPr="007C6ADC">
        <w:rPr>
          <w:rFonts w:ascii="Calibri" w:hAnsi="Calibri"/>
          <w:sz w:val="22"/>
          <w:szCs w:val="22"/>
        </w:rPr>
        <w:t xml:space="preserve">Motorist turning across path of cyclist </w:t>
      </w:r>
    </w:p>
    <w:p w14:paraId="226F91AA" w14:textId="77777777" w:rsidR="0021276E" w:rsidRPr="007C6ADC" w:rsidRDefault="0021276E" w:rsidP="0021276E">
      <w:pPr>
        <w:pStyle w:val="Default"/>
        <w:rPr>
          <w:rFonts w:ascii="Calibri" w:hAnsi="Calibri"/>
          <w:sz w:val="22"/>
          <w:szCs w:val="22"/>
        </w:rPr>
      </w:pPr>
    </w:p>
    <w:p w14:paraId="2D33E553" w14:textId="77777777" w:rsidR="0021276E" w:rsidRPr="007C6ADC" w:rsidRDefault="0021276E" w:rsidP="007C6ADC">
      <w:pPr>
        <w:pStyle w:val="Default"/>
        <w:numPr>
          <w:ilvl w:val="0"/>
          <w:numId w:val="25"/>
        </w:numPr>
        <w:rPr>
          <w:rFonts w:ascii="Calibri" w:hAnsi="Calibri"/>
          <w:sz w:val="22"/>
          <w:szCs w:val="22"/>
        </w:rPr>
      </w:pPr>
      <w:r w:rsidRPr="007C6ADC">
        <w:rPr>
          <w:rFonts w:ascii="Calibri" w:hAnsi="Calibri"/>
          <w:sz w:val="22"/>
          <w:szCs w:val="22"/>
        </w:rPr>
        <w:t xml:space="preserve">Cyclist riding into the path of a motor vehicle, often riding off a pavement </w:t>
      </w:r>
    </w:p>
    <w:p w14:paraId="3AF16E54" w14:textId="77777777" w:rsidR="0021276E" w:rsidRPr="007C6ADC" w:rsidRDefault="0021276E" w:rsidP="0021276E">
      <w:pPr>
        <w:pStyle w:val="Default"/>
        <w:rPr>
          <w:rFonts w:ascii="Calibri" w:hAnsi="Calibri"/>
          <w:sz w:val="22"/>
          <w:szCs w:val="22"/>
        </w:rPr>
      </w:pPr>
    </w:p>
    <w:p w14:paraId="5B2269CD" w14:textId="77777777" w:rsidR="0021276E" w:rsidRPr="007C6ADC" w:rsidRDefault="0021276E" w:rsidP="007C6ADC">
      <w:pPr>
        <w:pStyle w:val="Default"/>
        <w:numPr>
          <w:ilvl w:val="0"/>
          <w:numId w:val="25"/>
        </w:numPr>
        <w:rPr>
          <w:rFonts w:ascii="Calibri" w:hAnsi="Calibri"/>
          <w:sz w:val="22"/>
          <w:szCs w:val="22"/>
        </w:rPr>
      </w:pPr>
      <w:r w:rsidRPr="007C6ADC">
        <w:rPr>
          <w:rFonts w:ascii="Calibri" w:hAnsi="Calibri"/>
          <w:sz w:val="22"/>
          <w:szCs w:val="22"/>
        </w:rPr>
        <w:t xml:space="preserve">Cyclist and motorist going straight ahead </w:t>
      </w:r>
    </w:p>
    <w:p w14:paraId="5241BCC8" w14:textId="77777777" w:rsidR="0021276E" w:rsidRPr="007C6ADC" w:rsidRDefault="0021276E" w:rsidP="0021276E">
      <w:pPr>
        <w:pStyle w:val="Default"/>
        <w:rPr>
          <w:rFonts w:ascii="Calibri" w:hAnsi="Calibri"/>
          <w:sz w:val="22"/>
          <w:szCs w:val="22"/>
        </w:rPr>
      </w:pPr>
    </w:p>
    <w:p w14:paraId="3EF4204B" w14:textId="77777777" w:rsidR="0021276E" w:rsidRPr="007C6ADC" w:rsidRDefault="0021276E" w:rsidP="007C6ADC">
      <w:pPr>
        <w:pStyle w:val="Default"/>
        <w:numPr>
          <w:ilvl w:val="0"/>
          <w:numId w:val="25"/>
        </w:numPr>
        <w:rPr>
          <w:rFonts w:ascii="Calibri" w:hAnsi="Calibri"/>
          <w:sz w:val="22"/>
          <w:szCs w:val="22"/>
        </w:rPr>
      </w:pPr>
      <w:r w:rsidRPr="007C6ADC">
        <w:rPr>
          <w:rFonts w:ascii="Calibri" w:hAnsi="Calibri"/>
          <w:sz w:val="22"/>
          <w:szCs w:val="22"/>
        </w:rPr>
        <w:t xml:space="preserve">Cyclist turning right from a major road and from a minor road </w:t>
      </w:r>
    </w:p>
    <w:p w14:paraId="3687BCB5" w14:textId="77777777" w:rsidR="0021276E" w:rsidRPr="007C6ADC" w:rsidRDefault="0021276E" w:rsidP="0021276E">
      <w:pPr>
        <w:pStyle w:val="Default"/>
        <w:rPr>
          <w:rFonts w:ascii="Calibri" w:hAnsi="Calibri"/>
          <w:sz w:val="22"/>
          <w:szCs w:val="22"/>
        </w:rPr>
      </w:pPr>
    </w:p>
    <w:p w14:paraId="105F2EF8" w14:textId="77777777" w:rsidR="0049667D" w:rsidRPr="0049667D" w:rsidRDefault="0021276E" w:rsidP="0049667D">
      <w:pPr>
        <w:pStyle w:val="Default"/>
        <w:numPr>
          <w:ilvl w:val="0"/>
          <w:numId w:val="25"/>
        </w:numPr>
        <w:rPr>
          <w:rFonts w:ascii="Calibri" w:hAnsi="Calibri"/>
          <w:sz w:val="22"/>
          <w:szCs w:val="22"/>
        </w:rPr>
      </w:pPr>
      <w:r w:rsidRPr="007C6ADC">
        <w:rPr>
          <w:rFonts w:ascii="Calibri" w:hAnsi="Calibri"/>
          <w:sz w:val="22"/>
          <w:szCs w:val="22"/>
        </w:rPr>
        <w:t>Child cyc</w:t>
      </w:r>
      <w:r w:rsidR="0049667D">
        <w:rPr>
          <w:rFonts w:ascii="Calibri" w:hAnsi="Calibri"/>
          <w:sz w:val="22"/>
          <w:szCs w:val="22"/>
        </w:rPr>
        <w:t>list playing or riding too fast</w:t>
      </w:r>
      <w:r w:rsidR="0049667D">
        <w:rPr>
          <w:rFonts w:ascii="Calibri" w:hAnsi="Calibri"/>
          <w:sz w:val="22"/>
          <w:szCs w:val="22"/>
        </w:rPr>
        <w:tab/>
      </w:r>
      <w:r w:rsidR="0049667D">
        <w:rPr>
          <w:rFonts w:ascii="Calibri" w:hAnsi="Calibri"/>
          <w:sz w:val="22"/>
          <w:szCs w:val="22"/>
        </w:rPr>
        <w:br/>
      </w:r>
    </w:p>
    <w:p w14:paraId="2E9990F3" w14:textId="77777777" w:rsidR="0049667D" w:rsidRPr="0049667D" w:rsidRDefault="0049667D" w:rsidP="00566939">
      <w:pPr>
        <w:pStyle w:val="Heading1"/>
      </w:pPr>
      <w:r>
        <w:t>Cycling in icy weather</w:t>
      </w:r>
    </w:p>
    <w:p w14:paraId="545A7E3D" w14:textId="77CEA649" w:rsidR="00566939" w:rsidRPr="00327EAD" w:rsidRDefault="00C65582" w:rsidP="00957021">
      <w:pPr>
        <w:spacing w:beforeLines="125" w:before="300" w:afterLines="125" w:after="300" w:line="276" w:lineRule="auto"/>
        <w:contextualSpacing w:val="0"/>
        <w:jc w:val="left"/>
        <w:rPr>
          <w:vertAlign w:val="superscript"/>
        </w:rPr>
      </w:pPr>
      <w:r w:rsidRPr="0049667D">
        <w:t>Icy road surfaces pose a significant risk to cyclists. A report published by NHS Bristol states that non-collision incidents (NCIs) cause the most injuries as a result of travel in England, as well as the most harm to cyclists, and slippery road surfaces account for a sub</w:t>
      </w:r>
      <w:r>
        <w:t>stantial amount of these</w:t>
      </w:r>
      <w:r w:rsidRPr="0049667D">
        <w:t>.</w:t>
      </w:r>
      <w:bookmarkStart w:id="2" w:name="_Ref57286732"/>
      <w:r w:rsidR="00007A83">
        <w:rPr>
          <w:rStyle w:val="FootnoteReference"/>
        </w:rPr>
        <w:footnoteReference w:id="12"/>
      </w:r>
      <w:bookmarkEnd w:id="2"/>
      <w:r w:rsidRPr="0049667D">
        <w:t xml:space="preserve"> By analysing hospital admission statistics, it has been found that around 10,000 cyclists visit A&amp;E every year as a result of slipping on ice. It was also found that NCIs related to ice were the second highest cause of cyclist </w:t>
      </w:r>
      <w:r>
        <w:t>hospital admissions in 2016/17.</w:t>
      </w:r>
      <w:r w:rsidR="00007A83">
        <w:rPr>
          <w:rStyle w:val="FootnoteReference"/>
        </w:rPr>
        <w:footnoteReference w:id="13"/>
      </w:r>
      <w:r>
        <w:t xml:space="preserve"> </w:t>
      </w:r>
      <w:r w:rsidRPr="0049667D">
        <w:t xml:space="preserve">Furthermore, it is likely that for some individuals, the experience of even a minor NCI without injury may discourage them from cycling again. These situations need to be avoided, as it is currently a public health </w:t>
      </w:r>
      <w:r w:rsidRPr="0049667D">
        <w:lastRenderedPageBreak/>
        <w:t>priority to encourage the use of active travel in order to reduce carbon emissions and congestion</w:t>
      </w:r>
      <w:r>
        <w:t>.</w:t>
      </w:r>
      <w:r w:rsidR="00007A83">
        <w:rPr>
          <w:rStyle w:val="FootnoteReference"/>
        </w:rPr>
        <w:footnoteReference w:id="14"/>
      </w:r>
      <w:r w:rsidRPr="0049667D">
        <w:t xml:space="preserve"> By surveying cyclists and analysing the available data, preventative measures can be developed with the aim of increasing cycling rates, especially during winter months. Such measures include improved gritting, and more detailed weather forecasting – cyclists frequently rely on weather forecasts in order to decide whether to cycle or n</w:t>
      </w:r>
      <w:r>
        <w:t>ot. However, the temperatures included in</w:t>
      </w:r>
      <w:r w:rsidRPr="0049667D">
        <w:t xml:space="preserve"> weather reports refer to the air temperature rather than the ground temperature, and the ground can be several degrees colder than the air, meaning individuals may think that it is safe to cycle when</w:t>
      </w:r>
      <w:r w:rsidR="00FE4D34">
        <w:t xml:space="preserve"> the ground surface is icy</w:t>
      </w:r>
      <w:r w:rsidR="002E2A15">
        <w:t>.</w:t>
      </w:r>
      <w:r w:rsidR="00007A83">
        <w:rPr>
          <w:vertAlign w:val="superscript"/>
        </w:rPr>
        <w:t>11</w:t>
      </w:r>
      <w:r w:rsidR="00007A83" w:rsidDel="00007A83">
        <w:t xml:space="preserve"> </w:t>
      </w:r>
    </w:p>
    <w:p w14:paraId="2EA9BA56" w14:textId="77777777" w:rsidR="00C65582" w:rsidRPr="0049667D" w:rsidRDefault="00C65582" w:rsidP="00957021">
      <w:pPr>
        <w:spacing w:beforeLines="125" w:before="300" w:afterLines="125" w:after="300" w:line="276" w:lineRule="auto"/>
        <w:contextualSpacing w:val="0"/>
        <w:jc w:val="left"/>
      </w:pPr>
      <w:r w:rsidRPr="0049667D">
        <w:t xml:space="preserve">For more detailed information about NCIs and cycling in icy weather, please see RoSPA’s case study: </w:t>
      </w:r>
      <w:hyperlink r:id="rId8" w:history="1">
        <w:r w:rsidRPr="0049667D">
          <w:rPr>
            <w:color w:val="0563C1"/>
            <w:u w:val="single"/>
          </w:rPr>
          <w:t>https://bit.ly/2</w:t>
        </w:r>
        <w:r w:rsidRPr="0049667D">
          <w:rPr>
            <w:color w:val="0563C1"/>
            <w:u w:val="single"/>
          </w:rPr>
          <w:t>W</w:t>
        </w:r>
        <w:r w:rsidRPr="0049667D">
          <w:rPr>
            <w:color w:val="0563C1"/>
            <w:u w:val="single"/>
          </w:rPr>
          <w:t>jwxUn</w:t>
        </w:r>
      </w:hyperlink>
    </w:p>
    <w:p w14:paraId="405E365B" w14:textId="77777777" w:rsidR="0049667D" w:rsidRPr="0049667D" w:rsidRDefault="00C65582" w:rsidP="00957021">
      <w:pPr>
        <w:spacing w:beforeLines="125" w:before="300" w:afterLines="125" w:after="300" w:line="276" w:lineRule="auto"/>
        <w:contextualSpacing w:val="0"/>
        <w:jc w:val="left"/>
      </w:pPr>
      <w:r w:rsidRPr="0049667D">
        <w:t xml:space="preserve">This GOV.UK website allows you to find where your council will grit, which may help with cycle route planning: </w:t>
      </w:r>
      <w:hyperlink r:id="rId9" w:history="1">
        <w:r w:rsidRPr="0049667D">
          <w:rPr>
            <w:color w:val="0563C1"/>
            <w:u w:val="single"/>
          </w:rPr>
          <w:t>https://www.gov.uk/roads-council-will-grit</w:t>
        </w:r>
      </w:hyperlink>
      <w:r w:rsidRPr="0049667D">
        <w:t xml:space="preserve"> </w:t>
      </w:r>
    </w:p>
    <w:p w14:paraId="6DC95664" w14:textId="5CE7166A" w:rsidR="0021276E" w:rsidRPr="00796FFE" w:rsidRDefault="0021276E" w:rsidP="00796FFE">
      <w:pPr>
        <w:rPr>
          <w:b/>
          <w:color w:val="000062"/>
          <w:sz w:val="32"/>
          <w:szCs w:val="32"/>
        </w:rPr>
      </w:pPr>
      <w:bookmarkStart w:id="3" w:name="_GoBack"/>
      <w:bookmarkEnd w:id="3"/>
    </w:p>
    <w:sectPr w:rsidR="0021276E" w:rsidRPr="00796FFE" w:rsidSect="009648B4">
      <w:headerReference w:type="default" r:id="rId10"/>
      <w:footerReference w:type="default" r:id="rId11"/>
      <w:endnotePr>
        <w:numFmt w:val="decimal"/>
      </w:endnotePr>
      <w:pgSz w:w="11906" w:h="16838"/>
      <w:pgMar w:top="2232" w:right="991" w:bottom="1440" w:left="993" w:header="426" w:footer="86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C930" w16cex:dateUtc="2022-07-18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B7ABB" w16cid:durableId="267FC9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504B1" w14:textId="77777777" w:rsidR="00BD393A" w:rsidRDefault="00BD393A" w:rsidP="0035105B">
      <w:r>
        <w:separator/>
      </w:r>
    </w:p>
    <w:p w14:paraId="4341D0D8" w14:textId="77777777" w:rsidR="00BD393A" w:rsidRDefault="00BD393A"/>
    <w:p w14:paraId="4EF5C071" w14:textId="77777777" w:rsidR="00BD393A" w:rsidRDefault="00BD393A" w:rsidP="00397F19"/>
  </w:endnote>
  <w:endnote w:type="continuationSeparator" w:id="0">
    <w:p w14:paraId="0CC0B763" w14:textId="77777777" w:rsidR="00BD393A" w:rsidRDefault="00BD393A" w:rsidP="0035105B">
      <w:r>
        <w:continuationSeparator/>
      </w:r>
    </w:p>
    <w:p w14:paraId="5847F7DA" w14:textId="77777777" w:rsidR="00BD393A" w:rsidRDefault="00BD393A"/>
    <w:p w14:paraId="5BFC4A73" w14:textId="77777777" w:rsidR="00BD393A" w:rsidRDefault="00BD393A" w:rsidP="00397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Pro-Regular">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5CF1" w14:textId="77777777" w:rsidR="00A56EB4" w:rsidRDefault="00A56EB4" w:rsidP="007D0023">
    <w:pPr>
      <w:rPr>
        <w:sz w:val="18"/>
        <w:szCs w:val="18"/>
      </w:rPr>
    </w:pPr>
  </w:p>
  <w:p w14:paraId="12B5578E" w14:textId="77777777" w:rsidR="00A56EB4" w:rsidRDefault="00A56EB4" w:rsidP="007D0023">
    <w:pPr>
      <w:rPr>
        <w:sz w:val="18"/>
        <w:szCs w:val="18"/>
      </w:rPr>
    </w:pPr>
    <w:r w:rsidRPr="00E67B8B">
      <w:rPr>
        <w:sz w:val="18"/>
        <w:szCs w:val="18"/>
      </w:rPr>
      <w:t>28 Calthorpe Road, Edgbaston, Birmingham B15 1RP</w:t>
    </w:r>
    <w:r>
      <w:rPr>
        <w:sz w:val="18"/>
        <w:szCs w:val="18"/>
      </w:rPr>
      <w:t xml:space="preserve"> | Telephone 0121 248 2000 </w:t>
    </w:r>
  </w:p>
  <w:p w14:paraId="51EC996F" w14:textId="77777777" w:rsidR="00A56EB4" w:rsidRPr="007D0023" w:rsidRDefault="00D246AA" w:rsidP="007D0023">
    <w:pPr>
      <w:rPr>
        <w:sz w:val="18"/>
        <w:szCs w:val="18"/>
      </w:rPr>
    </w:pPr>
    <w:r>
      <w:rPr>
        <w:noProof/>
        <w:sz w:val="18"/>
        <w:szCs w:val="18"/>
        <w:lang w:eastAsia="en-GB"/>
      </w:rPr>
      <mc:AlternateContent>
        <mc:Choice Requires="wps">
          <w:drawing>
            <wp:anchor distT="0" distB="0" distL="114300" distR="114300" simplePos="0" relativeHeight="251657216" behindDoc="0" locked="0" layoutInCell="1" allowOverlap="1" wp14:anchorId="429FCF2C" wp14:editId="07DBA68D">
              <wp:simplePos x="0" y="0"/>
              <wp:positionH relativeFrom="column">
                <wp:posOffset>5915025</wp:posOffset>
              </wp:positionH>
              <wp:positionV relativeFrom="paragraph">
                <wp:posOffset>366395</wp:posOffset>
              </wp:positionV>
              <wp:extent cx="187960" cy="167005"/>
              <wp:effectExtent l="0" t="0" r="0" b="0"/>
              <wp:wrapNone/>
              <wp:docPr id="4" name="Freeform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7960" cy="167005"/>
                      </a:xfrm>
                      <a:custGeom>
                        <a:avLst/>
                        <a:gdLst>
                          <a:gd name="T0" fmla="*/ 56 w 58"/>
                          <a:gd name="T1" fmla="*/ 18 h 52"/>
                          <a:gd name="T2" fmla="*/ 55 w 58"/>
                          <a:gd name="T3" fmla="*/ 18 h 52"/>
                          <a:gd name="T4" fmla="*/ 53 w 58"/>
                          <a:gd name="T5" fmla="*/ 18 h 52"/>
                          <a:gd name="T6" fmla="*/ 55 w 58"/>
                          <a:gd name="T7" fmla="*/ 18 h 52"/>
                          <a:gd name="T8" fmla="*/ 56 w 58"/>
                          <a:gd name="T9" fmla="*/ 18 h 52"/>
                          <a:gd name="T10" fmla="*/ 45 w 58"/>
                          <a:gd name="T11" fmla="*/ 3 h 52"/>
                          <a:gd name="T12" fmla="*/ 32 w 58"/>
                          <a:gd name="T13" fmla="*/ 0 h 52"/>
                          <a:gd name="T14" fmla="*/ 32 w 58"/>
                          <a:gd name="T15" fmla="*/ 0 h 52"/>
                          <a:gd name="T16" fmla="*/ 12 w 58"/>
                          <a:gd name="T17" fmla="*/ 13 h 52"/>
                          <a:gd name="T18" fmla="*/ 9 w 58"/>
                          <a:gd name="T19" fmla="*/ 20 h 52"/>
                          <a:gd name="T20" fmla="*/ 0 w 58"/>
                          <a:gd name="T21" fmla="*/ 26 h 52"/>
                          <a:gd name="T22" fmla="*/ 9 w 58"/>
                          <a:gd name="T23" fmla="*/ 30 h 52"/>
                          <a:gd name="T24" fmla="*/ 21 w 58"/>
                          <a:gd name="T25" fmla="*/ 46 h 52"/>
                          <a:gd name="T26" fmla="*/ 54 w 58"/>
                          <a:gd name="T27" fmla="*/ 36 h 52"/>
                          <a:gd name="T28" fmla="*/ 56 w 58"/>
                          <a:gd name="T29" fmla="*/ 18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52">
                            <a:moveTo>
                              <a:pt x="56" y="18"/>
                            </a:moveTo>
                            <a:cubicBezTo>
                              <a:pt x="55" y="18"/>
                              <a:pt x="55" y="18"/>
                              <a:pt x="55" y="18"/>
                            </a:cubicBezTo>
                            <a:cubicBezTo>
                              <a:pt x="54" y="18"/>
                              <a:pt x="54" y="18"/>
                              <a:pt x="53" y="18"/>
                            </a:cubicBezTo>
                            <a:cubicBezTo>
                              <a:pt x="54" y="18"/>
                              <a:pt x="54" y="18"/>
                              <a:pt x="55" y="18"/>
                            </a:cubicBezTo>
                            <a:cubicBezTo>
                              <a:pt x="56" y="18"/>
                              <a:pt x="56" y="18"/>
                              <a:pt x="56" y="18"/>
                            </a:cubicBezTo>
                            <a:cubicBezTo>
                              <a:pt x="54" y="12"/>
                              <a:pt x="51" y="6"/>
                              <a:pt x="45" y="3"/>
                            </a:cubicBezTo>
                            <a:cubicBezTo>
                              <a:pt x="41" y="1"/>
                              <a:pt x="36" y="0"/>
                              <a:pt x="32" y="0"/>
                            </a:cubicBezTo>
                            <a:cubicBezTo>
                              <a:pt x="32" y="0"/>
                              <a:pt x="32" y="0"/>
                              <a:pt x="32" y="0"/>
                            </a:cubicBezTo>
                            <a:cubicBezTo>
                              <a:pt x="24" y="1"/>
                              <a:pt x="16" y="5"/>
                              <a:pt x="12" y="13"/>
                            </a:cubicBezTo>
                            <a:cubicBezTo>
                              <a:pt x="10" y="15"/>
                              <a:pt x="10" y="18"/>
                              <a:pt x="9" y="20"/>
                            </a:cubicBezTo>
                            <a:cubicBezTo>
                              <a:pt x="0" y="26"/>
                              <a:pt x="0" y="26"/>
                              <a:pt x="0" y="26"/>
                            </a:cubicBezTo>
                            <a:cubicBezTo>
                              <a:pt x="9" y="30"/>
                              <a:pt x="9" y="30"/>
                              <a:pt x="9" y="30"/>
                            </a:cubicBezTo>
                            <a:cubicBezTo>
                              <a:pt x="11" y="37"/>
                              <a:pt x="15" y="42"/>
                              <a:pt x="21" y="46"/>
                            </a:cubicBezTo>
                            <a:cubicBezTo>
                              <a:pt x="33" y="52"/>
                              <a:pt x="47" y="48"/>
                              <a:pt x="54" y="36"/>
                            </a:cubicBezTo>
                            <a:cubicBezTo>
                              <a:pt x="57" y="30"/>
                              <a:pt x="58" y="24"/>
                              <a:pt x="56" y="18"/>
                            </a:cubicBezTo>
                            <a:close/>
                          </a:path>
                        </a:pathLst>
                      </a:custGeom>
                      <a:solidFill>
                        <a:srgbClr val="F9A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74DEF" id="Freeform 21" o:spid="_x0000_s1026" style="position:absolute;margin-left:465.75pt;margin-top:28.85pt;width:14.8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" path="m56,18v-1,,-1,,-1,c54,18,54,18,53,18v1,,1,,2,c56,18,56,18,56,18,54,12,51,6,45,3,41,1,36,,32,v,,,,,c24,1,16,5,12,13v-2,2,-2,5,-3,7c,26,,26,,26v9,4,9,4,9,4c11,37,15,42,21,46v12,6,26,2,33,-10c57,30,58,24,56,18xe" fillcolor="#f9af36" stroked="f">
              <v:path arrowok="t" o:connecttype="custom" o:connectlocs="181479,57809;178238,57809;171757,57809;178238,57809;181479,57809;145831,9635;103702,0;103702,0;38888,41751;29166,64233;0,83503;29166,96349;68054,147735;174997,115619;181479,57809" o:connectangles="0,0,0,0,0,0,0,0,0,0,0,0,0,0,0"/>
              <o:lock v:ext="edit" aspectratio="t"/>
            </v:shape>
          </w:pict>
        </mc:Fallback>
      </mc:AlternateContent>
    </w:r>
    <w:r>
      <w:rPr>
        <w:noProof/>
        <w:sz w:val="18"/>
        <w:szCs w:val="18"/>
        <w:lang w:eastAsia="en-GB"/>
      </w:rPr>
      <mc:AlternateContent>
        <mc:Choice Requires="wps">
          <w:drawing>
            <wp:anchor distT="0" distB="0" distL="114300" distR="114300" simplePos="0" relativeHeight="251656192" behindDoc="0" locked="0" layoutInCell="1" allowOverlap="1" wp14:anchorId="1091215A" wp14:editId="2AB94107">
              <wp:simplePos x="0" y="0"/>
              <wp:positionH relativeFrom="column">
                <wp:posOffset>-139700</wp:posOffset>
              </wp:positionH>
              <wp:positionV relativeFrom="paragraph">
                <wp:posOffset>461010</wp:posOffset>
              </wp:positionV>
              <wp:extent cx="6137910" cy="635"/>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7910" cy="635"/>
                      </a:xfrm>
                      <a:prstGeom prst="line">
                        <a:avLst/>
                      </a:prstGeom>
                      <a:noFill/>
                      <a:ln w="3175">
                        <a:solidFill>
                          <a:srgbClr val="272B5C"/>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215B"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3pt" to="472.3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" strokecolor="#272b5c" strokeweight=".25pt">
              <v:stroke joinstyle="miter"/>
              <o:lock v:ext="edit" shapetype="f"/>
            </v:line>
          </w:pict>
        </mc:Fallback>
      </mc:AlternateContent>
    </w:r>
    <w:r w:rsidR="00A56EB4" w:rsidRPr="00E67B8B">
      <w:rPr>
        <w:sz w:val="18"/>
        <w:szCs w:val="18"/>
      </w:rPr>
      <w:t>Registered Charity No: 207823</w:t>
    </w:r>
    <w:r w:rsidR="00A56EB4">
      <w:rPr>
        <w:sz w:val="18"/>
        <w:szCs w:val="18"/>
      </w:rPr>
      <w:t xml:space="preserve"> | www.rospa.com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B5738" w14:textId="77777777" w:rsidR="00BD393A" w:rsidRDefault="00BD393A" w:rsidP="0035105B">
      <w:r>
        <w:separator/>
      </w:r>
    </w:p>
    <w:p w14:paraId="7DFDD19D" w14:textId="77777777" w:rsidR="00BD393A" w:rsidRDefault="00BD393A"/>
    <w:p w14:paraId="0D5F5ED0" w14:textId="77777777" w:rsidR="00BD393A" w:rsidRDefault="00BD393A" w:rsidP="00397F19"/>
  </w:footnote>
  <w:footnote w:type="continuationSeparator" w:id="0">
    <w:p w14:paraId="5D999D79" w14:textId="77777777" w:rsidR="00BD393A" w:rsidRDefault="00BD393A" w:rsidP="0035105B">
      <w:r>
        <w:continuationSeparator/>
      </w:r>
    </w:p>
    <w:p w14:paraId="693B22C4" w14:textId="77777777" w:rsidR="00BD393A" w:rsidRDefault="00BD393A"/>
    <w:p w14:paraId="1CB1A40E" w14:textId="77777777" w:rsidR="00BD393A" w:rsidRDefault="00BD393A" w:rsidP="00397F19"/>
  </w:footnote>
  <w:footnote w:id="1">
    <w:p w14:paraId="6227169F" w14:textId="757F0A52" w:rsidR="00334DD6" w:rsidRPr="001A27F8" w:rsidRDefault="00334DD6" w:rsidP="00A012A5">
      <w:pPr>
        <w:pStyle w:val="EndnoteText"/>
        <w:jc w:val="left"/>
      </w:pPr>
      <w:r w:rsidRPr="001A27F8">
        <w:rPr>
          <w:rStyle w:val="FootnoteReference"/>
        </w:rPr>
        <w:footnoteRef/>
      </w:r>
      <w:r w:rsidRPr="001A27F8">
        <w:t xml:space="preserve"> DfT (202</w:t>
      </w:r>
      <w:r w:rsidR="004D7DA4">
        <w:t>1</w:t>
      </w:r>
      <w:r w:rsidRPr="001A27F8">
        <w:t>) ‘Table RAS30001: Reported road casualties by road user type and severity, Great Britain, 2020’</w:t>
      </w:r>
    </w:p>
    <w:p w14:paraId="05BF58AF" w14:textId="1703E2E7" w:rsidR="00334DD6" w:rsidRPr="001A27F8" w:rsidRDefault="00334DD6" w:rsidP="001A27F8">
      <w:pPr>
        <w:pStyle w:val="EndnoteText"/>
        <w:jc w:val="left"/>
      </w:pPr>
      <w:r w:rsidRPr="001A27F8">
        <w:t xml:space="preserve">URL: </w:t>
      </w:r>
      <w:hyperlink r:id="rId1" w:history="1">
        <w:r w:rsidRPr="001A27F8">
          <w:rPr>
            <w:rStyle w:val="Hyperlink"/>
          </w:rPr>
          <w:t>https://www.gov.uk/government/statistical-data-sets/ras30-reported-casualties-in-road-accidents</w:t>
        </w:r>
      </w:hyperlink>
      <w:r w:rsidR="001A27F8" w:rsidRPr="001A27F8">
        <w:t xml:space="preserve">: </w:t>
      </w:r>
      <w:r w:rsidR="001A27F8" w:rsidRPr="001A27F8">
        <w:rPr>
          <w:rFonts w:asciiTheme="minorHAnsi" w:hAnsiTheme="minorHAnsi" w:cstheme="minorHAnsi"/>
        </w:rPr>
        <w:t>Accessed 26/07/2022</w:t>
      </w:r>
    </w:p>
  </w:footnote>
  <w:footnote w:id="2">
    <w:p w14:paraId="085EB36B" w14:textId="02D76FDF" w:rsidR="00334DD6" w:rsidRPr="001A27F8" w:rsidRDefault="00334DD6" w:rsidP="001A27F8">
      <w:pPr>
        <w:pStyle w:val="EndnoteText"/>
        <w:jc w:val="left"/>
      </w:pPr>
      <w:r w:rsidRPr="001A27F8">
        <w:rPr>
          <w:rStyle w:val="FootnoteReference"/>
        </w:rPr>
        <w:footnoteRef/>
      </w:r>
      <w:r w:rsidRPr="001A27F8">
        <w:t xml:space="preserve"> DfT (202</w:t>
      </w:r>
      <w:r w:rsidR="004D7DA4">
        <w:t>1</w:t>
      </w:r>
      <w:r w:rsidRPr="001A27F8">
        <w:t xml:space="preserve">) ‘Table RAS30024: Reported casualties by age band, road user type and severity, Great Britain, 2020’ URL: </w:t>
      </w:r>
      <w:hyperlink r:id="rId2" w:history="1">
        <w:r w:rsidRPr="001A27F8">
          <w:rPr>
            <w:rStyle w:val="Hyperlink"/>
          </w:rPr>
          <w:t>https://www.gov.uk/government/statistical-data-sets/ras30-reported-casualties-in-road-accidents</w:t>
        </w:r>
      </w:hyperlink>
      <w:r w:rsidR="001A27F8" w:rsidRPr="001A27F8">
        <w:t>:</w:t>
      </w:r>
      <w:r w:rsidR="001A27F8" w:rsidRPr="001A27F8">
        <w:rPr>
          <w:rFonts w:asciiTheme="minorHAnsi" w:hAnsiTheme="minorHAnsi" w:cstheme="minorHAnsi"/>
        </w:rPr>
        <w:t xml:space="preserve"> Accessed 26/07/2022</w:t>
      </w:r>
    </w:p>
  </w:footnote>
  <w:footnote w:id="3">
    <w:p w14:paraId="4ACBE5E5" w14:textId="40A95933" w:rsidR="006A646F" w:rsidRPr="001A27F8" w:rsidRDefault="005612B5" w:rsidP="001A27F8">
      <w:pPr>
        <w:pStyle w:val="FootnoteText"/>
        <w:jc w:val="left"/>
      </w:pPr>
      <w:r w:rsidRPr="001A27F8">
        <w:rPr>
          <w:rStyle w:val="FootnoteReference"/>
        </w:rPr>
        <w:footnoteRef/>
      </w:r>
      <w:r w:rsidRPr="001A27F8">
        <w:t xml:space="preserve"> NHS Digital</w:t>
      </w:r>
      <w:r w:rsidR="001A27F8" w:rsidRPr="001A27F8">
        <w:t xml:space="preserve"> (2022) </w:t>
      </w:r>
      <w:r w:rsidRPr="001A27F8">
        <w:t>‘Hospital Episode Statistics for England. Admitted Patient Care statistics</w:t>
      </w:r>
      <w:r w:rsidR="006A646F" w:rsidRPr="001A27F8">
        <w:t xml:space="preserve"> </w:t>
      </w:r>
      <w:hyperlink r:id="rId3" w:history="1">
        <w:r w:rsidR="006A646F" w:rsidRPr="001A27F8">
          <w:rPr>
            <w:rStyle w:val="Hyperlink"/>
          </w:rPr>
          <w:t>https://files.digital.nhs.uk/38</w:t>
        </w:r>
        <w:r w:rsidR="006A646F" w:rsidRPr="001A27F8">
          <w:rPr>
            <w:rStyle w:val="Hyperlink"/>
          </w:rPr>
          <w:t>/</w:t>
        </w:r>
        <w:r w:rsidR="006A646F" w:rsidRPr="001A27F8">
          <w:rPr>
            <w:rStyle w:val="Hyperlink"/>
          </w:rPr>
          <w:t>00015E/hosp-epis-stat-admi-ext-cau-2020-21-tab.xlsx</w:t>
        </w:r>
      </w:hyperlink>
      <w:r w:rsidR="001A27F8" w:rsidRPr="001A27F8">
        <w:t xml:space="preserve">: </w:t>
      </w:r>
      <w:r w:rsidR="001A27F8" w:rsidRPr="001A27F8">
        <w:rPr>
          <w:rFonts w:asciiTheme="minorHAnsi" w:hAnsiTheme="minorHAnsi" w:cstheme="minorHAnsi"/>
        </w:rPr>
        <w:t>Accessed 26/07/2022</w:t>
      </w:r>
    </w:p>
  </w:footnote>
  <w:footnote w:id="4">
    <w:p w14:paraId="14699148" w14:textId="24A74339" w:rsidR="00986D91" w:rsidRPr="001A27F8" w:rsidRDefault="00986D91" w:rsidP="00A012A5">
      <w:pPr>
        <w:pStyle w:val="EndnoteText"/>
        <w:jc w:val="left"/>
      </w:pPr>
      <w:r w:rsidRPr="001A27F8">
        <w:rPr>
          <w:rStyle w:val="FootnoteReference"/>
        </w:rPr>
        <w:footnoteRef/>
      </w:r>
      <w:r w:rsidRPr="001A27F8">
        <w:t xml:space="preserve"> DfT (202</w:t>
      </w:r>
      <w:r w:rsidR="000F729D">
        <w:t>1</w:t>
      </w:r>
      <w:r w:rsidRPr="001A27F8">
        <w:t>) ‘RAS30024: Reported casualty rates by age band, road user type and severity, Great Britain, 2020’</w:t>
      </w:r>
    </w:p>
    <w:p w14:paraId="2D7A5219" w14:textId="7F0375C5" w:rsidR="00986D91" w:rsidRPr="001A27F8" w:rsidRDefault="00986D91" w:rsidP="001A27F8">
      <w:pPr>
        <w:pStyle w:val="EndnoteText"/>
        <w:jc w:val="left"/>
      </w:pPr>
      <w:r w:rsidRPr="001A27F8">
        <w:t xml:space="preserve">URL: </w:t>
      </w:r>
      <w:hyperlink r:id="rId4" w:history="1">
        <w:r w:rsidRPr="001A27F8">
          <w:rPr>
            <w:rStyle w:val="Hyperlink"/>
          </w:rPr>
          <w:t>https://www.gov.uk/government/statistical-data-sets/ras30-reported-casualties-in-road-accidents</w:t>
        </w:r>
      </w:hyperlink>
      <w:r w:rsidR="001A27F8" w:rsidRPr="001A27F8">
        <w:t xml:space="preserve">: </w:t>
      </w:r>
      <w:r w:rsidR="001A27F8" w:rsidRPr="001A27F8">
        <w:rPr>
          <w:rFonts w:asciiTheme="minorHAnsi" w:hAnsiTheme="minorHAnsi" w:cstheme="minorHAnsi"/>
        </w:rPr>
        <w:t>Accessed 26/07/2022</w:t>
      </w:r>
    </w:p>
  </w:footnote>
  <w:footnote w:id="5">
    <w:p w14:paraId="7B99F5A1" w14:textId="62E2CF75" w:rsidR="00986D91" w:rsidRPr="001A27F8" w:rsidRDefault="00986D91" w:rsidP="001A27F8">
      <w:pPr>
        <w:pStyle w:val="EndnoteText"/>
        <w:jc w:val="left"/>
      </w:pPr>
      <w:r w:rsidRPr="001A27F8">
        <w:rPr>
          <w:rStyle w:val="FootnoteReference"/>
        </w:rPr>
        <w:footnoteRef/>
      </w:r>
      <w:r w:rsidRPr="001A27F8">
        <w:t xml:space="preserve"> DfT (202</w:t>
      </w:r>
      <w:r w:rsidR="000F729D">
        <w:t>1</w:t>
      </w:r>
      <w:r w:rsidRPr="001A27F8">
        <w:t xml:space="preserve">) ‘Table RAS30011: Reported casualties by gender, road user type and age URL: </w:t>
      </w:r>
      <w:hyperlink r:id="rId5" w:history="1">
        <w:r w:rsidRPr="001A27F8">
          <w:rPr>
            <w:rStyle w:val="Hyperlink"/>
          </w:rPr>
          <w:t>https://www.gov.uk/government/statistical-data-sets/ras30-reported-casualties-in-road-accidents</w:t>
        </w:r>
      </w:hyperlink>
      <w:r w:rsidR="001A27F8" w:rsidRPr="001A27F8">
        <w:t xml:space="preserve">: </w:t>
      </w:r>
      <w:r w:rsidR="001A27F8" w:rsidRPr="001A27F8">
        <w:rPr>
          <w:rFonts w:asciiTheme="minorHAnsi" w:hAnsiTheme="minorHAnsi" w:cstheme="minorHAnsi"/>
        </w:rPr>
        <w:t>Accessed 26/07/2022</w:t>
      </w:r>
    </w:p>
  </w:footnote>
  <w:footnote w:id="6">
    <w:p w14:paraId="1181EF1B" w14:textId="75A1A467" w:rsidR="000F729D" w:rsidRDefault="000F729D" w:rsidP="000F729D">
      <w:pPr>
        <w:rPr>
          <w:sz w:val="20"/>
          <w:szCs w:val="20"/>
        </w:rPr>
      </w:pPr>
      <w:r w:rsidRPr="000F729D">
        <w:rPr>
          <w:sz w:val="20"/>
          <w:szCs w:val="20"/>
          <w:vertAlign w:val="superscript"/>
        </w:rPr>
        <w:footnoteRef/>
      </w:r>
      <w:r w:rsidRPr="000F729D">
        <w:rPr>
          <w:sz w:val="20"/>
          <w:szCs w:val="20"/>
        </w:rPr>
        <w:t xml:space="preserve"> DfT (2021) ‘Reported road casualties in Great Britain: pedal cycle factsheet, 2020’</w:t>
      </w:r>
    </w:p>
    <w:p w14:paraId="552CF4EF" w14:textId="04A3C520" w:rsidR="00CC23EC" w:rsidRPr="000F729D" w:rsidRDefault="00CC23EC" w:rsidP="000F729D">
      <w:pPr>
        <w:rPr>
          <w:sz w:val="20"/>
          <w:szCs w:val="20"/>
        </w:rPr>
      </w:pPr>
      <w:hyperlink r:id="rId6" w:history="1">
        <w:r w:rsidRPr="00D44754">
          <w:rPr>
            <w:rStyle w:val="Hyperlink"/>
            <w:sz w:val="20"/>
            <w:szCs w:val="20"/>
          </w:rPr>
          <w:t>https://www.gov.uk/government/statistics/reported-road-casualties-great-britain-pedal-cyclist-factsheet-2020/reported-road-casualties-in-great-britain-pedal-cycle-factsheet-2020</w:t>
        </w:r>
      </w:hyperlink>
      <w:r>
        <w:rPr>
          <w:sz w:val="20"/>
          <w:szCs w:val="20"/>
        </w:rPr>
        <w:t xml:space="preserve"> </w:t>
      </w:r>
    </w:p>
    <w:p w14:paraId="0F10864F" w14:textId="77A9678E" w:rsidR="000F729D" w:rsidRPr="000F729D" w:rsidRDefault="000F729D" w:rsidP="000F729D">
      <w:pPr>
        <w:rPr>
          <w:sz w:val="20"/>
          <w:szCs w:val="20"/>
        </w:rPr>
      </w:pPr>
      <w:r w:rsidRPr="000F729D">
        <w:rPr>
          <w:sz w:val="20"/>
          <w:szCs w:val="20"/>
        </w:rPr>
        <w:t>Date accessed: 02/08/2022.</w:t>
      </w:r>
    </w:p>
  </w:footnote>
  <w:footnote w:id="7">
    <w:p w14:paraId="37916715" w14:textId="408FECA3" w:rsidR="00986D91" w:rsidRPr="001A27F8" w:rsidRDefault="00986D91" w:rsidP="00A012A5">
      <w:pPr>
        <w:pStyle w:val="EndnoteText"/>
        <w:jc w:val="left"/>
      </w:pPr>
      <w:r w:rsidRPr="001A27F8">
        <w:rPr>
          <w:rStyle w:val="FootnoteReference"/>
        </w:rPr>
        <w:footnoteRef/>
      </w:r>
      <w:r w:rsidRPr="001A27F8">
        <w:t xml:space="preserve"> DfT (202</w:t>
      </w:r>
      <w:r w:rsidR="000F729D">
        <w:t>1</w:t>
      </w:r>
      <w:r w:rsidRPr="001A27F8">
        <w:t>) ‘RAS30070: Relative risk of different forms of transport, Great Britain, 2020’</w:t>
      </w:r>
    </w:p>
    <w:p w14:paraId="33DD59DE" w14:textId="38F6B14A" w:rsidR="00986D91" w:rsidRDefault="00986D91" w:rsidP="001A27F8">
      <w:pPr>
        <w:pStyle w:val="EndnoteText"/>
        <w:jc w:val="left"/>
        <w:rPr>
          <w:rFonts w:asciiTheme="minorHAnsi" w:hAnsiTheme="minorHAnsi" w:cstheme="minorHAnsi"/>
        </w:rPr>
      </w:pPr>
      <w:r w:rsidRPr="001A27F8">
        <w:t xml:space="preserve">URL: </w:t>
      </w:r>
      <w:hyperlink r:id="rId7" w:history="1">
        <w:r w:rsidRPr="001A27F8">
          <w:rPr>
            <w:rStyle w:val="Hyperlink"/>
          </w:rPr>
          <w:t>https://www.gov.uk/government/statistical-data-sets/ras30-reported-casualties-in-road-accidents</w:t>
        </w:r>
      </w:hyperlink>
      <w:r w:rsidR="001A27F8" w:rsidRPr="001A27F8">
        <w:t xml:space="preserve">: </w:t>
      </w:r>
      <w:r w:rsidR="001A27F8" w:rsidRPr="001A27F8">
        <w:rPr>
          <w:rFonts w:asciiTheme="minorHAnsi" w:hAnsiTheme="minorHAnsi" w:cstheme="minorHAnsi"/>
        </w:rPr>
        <w:t>Accessed 26/07/2022</w:t>
      </w:r>
    </w:p>
    <w:p w14:paraId="6AFC43B7" w14:textId="77777777" w:rsidR="000F729D" w:rsidRPr="001A27F8" w:rsidRDefault="000F729D" w:rsidP="001A27F8">
      <w:pPr>
        <w:pStyle w:val="EndnoteText"/>
        <w:jc w:val="left"/>
      </w:pPr>
    </w:p>
  </w:footnote>
  <w:footnote w:id="8">
    <w:p w14:paraId="652E3821" w14:textId="77777777" w:rsidR="00CC23EC" w:rsidRPr="000F729D" w:rsidRDefault="00007A83" w:rsidP="00CC23EC">
      <w:pPr>
        <w:rPr>
          <w:sz w:val="20"/>
          <w:szCs w:val="20"/>
        </w:rPr>
      </w:pPr>
      <w:r w:rsidRPr="001A27F8">
        <w:rPr>
          <w:rStyle w:val="FootnoteReference"/>
        </w:rPr>
        <w:footnoteRef/>
      </w:r>
      <w:r w:rsidR="00CC23EC">
        <w:t xml:space="preserve"> </w:t>
      </w:r>
      <w:r w:rsidR="00CC23EC" w:rsidRPr="000F729D">
        <w:rPr>
          <w:sz w:val="20"/>
          <w:szCs w:val="20"/>
        </w:rPr>
        <w:t>DfT (2021) ‘Reported road casualties in Great Britain: pedal cycle factsheet, 2020’</w:t>
      </w:r>
    </w:p>
    <w:p w14:paraId="59411D62" w14:textId="3C75288E" w:rsidR="00CC23EC" w:rsidRPr="001A27F8" w:rsidRDefault="00CC23EC" w:rsidP="00CC23EC">
      <w:pPr>
        <w:pStyle w:val="EndnoteText"/>
        <w:jc w:val="left"/>
      </w:pPr>
      <w:hyperlink r:id="rId8" w:history="1">
        <w:r w:rsidRPr="00D44754">
          <w:rPr>
            <w:rStyle w:val="Hyperlink"/>
          </w:rPr>
          <w:t>https://www.gov.uk/government/statistics/reported-road-casualties-great-britain-pedal-cyclist-factsheet-2020/reported-road-casualties-in-great-britain-pedal-cycle-factsheet-2020</w:t>
        </w:r>
      </w:hyperlink>
      <w:r>
        <w:t xml:space="preserve"> </w:t>
      </w:r>
      <w:r w:rsidRPr="000F729D">
        <w:t>Date accessed: 02/08/2022.</w:t>
      </w:r>
    </w:p>
    <w:p w14:paraId="5EC51C96" w14:textId="6EDD7113" w:rsidR="00007A83" w:rsidRPr="001A27F8" w:rsidRDefault="00007A83" w:rsidP="001A27F8">
      <w:pPr>
        <w:pStyle w:val="EndnoteText"/>
        <w:jc w:val="left"/>
      </w:pPr>
    </w:p>
  </w:footnote>
  <w:footnote w:id="9">
    <w:p w14:paraId="5BE23C1D" w14:textId="441C1524" w:rsidR="00CC23EC" w:rsidRDefault="00CC23EC">
      <w:pPr>
        <w:pStyle w:val="FootnoteText"/>
      </w:pPr>
      <w:r>
        <w:rPr>
          <w:rStyle w:val="FootnoteReference"/>
        </w:rPr>
        <w:footnoteRef/>
      </w:r>
      <w:r>
        <w:t xml:space="preserve"> Department for Transport (2015) ‘Facts on pedal cycles’</w:t>
      </w:r>
    </w:p>
    <w:p w14:paraId="0463CD1D" w14:textId="5E4EDEF9" w:rsidR="00CC23EC" w:rsidRDefault="00CC23EC">
      <w:pPr>
        <w:pStyle w:val="FootnoteText"/>
      </w:pPr>
      <w:hyperlink r:id="rId9" w:history="1">
        <w:r w:rsidRPr="00D44754">
          <w:rPr>
            <w:rStyle w:val="Hyperlink"/>
          </w:rPr>
          <w:t>https://assets.publishing.service.gov.uk/government/uploads/system/uploads/attachment_data/file/447674/pedal-cyclists-2013-data.pdf</w:t>
        </w:r>
      </w:hyperlink>
      <w:r>
        <w:t xml:space="preserve"> Date accessed: 02/08/2022.</w:t>
      </w:r>
    </w:p>
  </w:footnote>
  <w:footnote w:id="10">
    <w:p w14:paraId="720AE635" w14:textId="52B30B25" w:rsidR="00007A83" w:rsidRPr="001A27F8" w:rsidRDefault="00007A83" w:rsidP="001A27F8">
      <w:pPr>
        <w:pStyle w:val="EndnoteText"/>
        <w:jc w:val="left"/>
      </w:pPr>
      <w:r w:rsidRPr="001A27F8">
        <w:rPr>
          <w:rStyle w:val="FootnoteReference"/>
        </w:rPr>
        <w:footnoteRef/>
      </w:r>
      <w:r w:rsidRPr="001A27F8">
        <w:t xml:space="preserve"> DfT (202</w:t>
      </w:r>
      <w:r w:rsidR="00CC23EC">
        <w:t>1</w:t>
      </w:r>
      <w:r w:rsidRPr="001A27F8">
        <w:t xml:space="preserve">) ‘RAS50001: Contributory factors in reported accidents by severity, Great Britain, 2020’ URL: </w:t>
      </w:r>
      <w:hyperlink r:id="rId10" w:history="1">
        <w:r w:rsidRPr="001A27F8">
          <w:rPr>
            <w:rStyle w:val="Hyperlink"/>
          </w:rPr>
          <w:t>https://www.gov.uk/government/statistical-data-sets/ras50-contributory-factors</w:t>
        </w:r>
      </w:hyperlink>
      <w:r w:rsidR="001A27F8" w:rsidRPr="001A27F8">
        <w:t xml:space="preserve">: </w:t>
      </w:r>
      <w:r w:rsidR="001A27F8" w:rsidRPr="001A27F8">
        <w:rPr>
          <w:rFonts w:asciiTheme="minorHAnsi" w:hAnsiTheme="minorHAnsi" w:cstheme="minorHAnsi"/>
        </w:rPr>
        <w:t>Accessed 26/07/2022</w:t>
      </w:r>
    </w:p>
  </w:footnote>
  <w:footnote w:id="11">
    <w:p w14:paraId="47F11A23" w14:textId="75C3B638" w:rsidR="00007A83" w:rsidRPr="002F33EC" w:rsidRDefault="00007A83" w:rsidP="001A27F8">
      <w:pPr>
        <w:pStyle w:val="Default"/>
        <w:rPr>
          <w:rFonts w:asciiTheme="minorHAnsi" w:hAnsiTheme="minorHAnsi"/>
          <w:sz w:val="20"/>
          <w:szCs w:val="20"/>
        </w:rPr>
      </w:pPr>
      <w:r w:rsidRPr="002F33EC">
        <w:rPr>
          <w:rStyle w:val="FootnoteReference"/>
          <w:rFonts w:asciiTheme="minorHAnsi" w:hAnsiTheme="minorHAnsi"/>
          <w:sz w:val="20"/>
          <w:szCs w:val="20"/>
        </w:rPr>
        <w:footnoteRef/>
      </w:r>
      <w:r w:rsidRPr="002F33EC">
        <w:rPr>
          <w:rFonts w:asciiTheme="minorHAnsi" w:hAnsiTheme="minorHAnsi"/>
          <w:sz w:val="20"/>
          <w:szCs w:val="20"/>
        </w:rPr>
        <w:t xml:space="preserve"> Allen et al. (2014) ‘London Freight Data Report: 2014 Update’ URL: </w:t>
      </w:r>
      <w:hyperlink r:id="rId11" w:history="1">
        <w:r w:rsidRPr="002F33EC">
          <w:rPr>
            <w:rStyle w:val="Hyperlink"/>
            <w:rFonts w:asciiTheme="minorHAnsi" w:hAnsiTheme="minorHAnsi"/>
            <w:sz w:val="20"/>
            <w:szCs w:val="20"/>
          </w:rPr>
          <w:t>http://content.tfl.gov.uk/london-freight-data-report-2014.pdf</w:t>
        </w:r>
      </w:hyperlink>
      <w:r w:rsidRPr="002F33EC">
        <w:rPr>
          <w:rFonts w:asciiTheme="minorHAnsi" w:hAnsiTheme="minorHAnsi"/>
          <w:sz w:val="20"/>
          <w:szCs w:val="20"/>
        </w:rPr>
        <w:t xml:space="preserve"> </w:t>
      </w:r>
      <w:r w:rsidR="002F33EC" w:rsidRPr="002F33EC">
        <w:rPr>
          <w:rFonts w:asciiTheme="minorHAnsi" w:hAnsiTheme="minorHAnsi"/>
          <w:sz w:val="20"/>
          <w:szCs w:val="20"/>
        </w:rPr>
        <w:t>:</w:t>
      </w:r>
      <w:r w:rsidR="002F33EC" w:rsidRPr="002F33EC">
        <w:rPr>
          <w:rFonts w:asciiTheme="minorHAnsi" w:hAnsiTheme="minorHAnsi" w:cstheme="minorHAnsi"/>
          <w:sz w:val="20"/>
          <w:szCs w:val="20"/>
        </w:rPr>
        <w:t xml:space="preserve"> Accessed 26/07/2022</w:t>
      </w:r>
    </w:p>
  </w:footnote>
  <w:footnote w:id="12">
    <w:p w14:paraId="437899FE" w14:textId="6CC9D8CB" w:rsidR="00007A83" w:rsidRPr="0085740B" w:rsidRDefault="00007A83" w:rsidP="00C36541">
      <w:pPr>
        <w:pStyle w:val="FootnoteText"/>
        <w:jc w:val="left"/>
      </w:pPr>
      <w:r w:rsidRPr="0085740B">
        <w:rPr>
          <w:rStyle w:val="FootnoteReference"/>
        </w:rPr>
        <w:footnoteRef/>
      </w:r>
      <w:r w:rsidRPr="0085740B">
        <w:t xml:space="preserve"> Benington R</w:t>
      </w:r>
      <w:r w:rsidR="00C36541" w:rsidRPr="0085740B">
        <w:t xml:space="preserve"> (2012) </w:t>
      </w:r>
      <w:r w:rsidRPr="0085740B">
        <w:t xml:space="preserve">An introduction to non-collision cycling incidents. </w:t>
      </w:r>
      <w:r w:rsidRPr="0085740B">
        <w:rPr>
          <w:i/>
        </w:rPr>
        <w:t>NHS Bristol.</w:t>
      </w:r>
      <w:r w:rsidR="00C36541" w:rsidRPr="0085740B">
        <w:t xml:space="preserve"> </w:t>
      </w:r>
      <w:hyperlink r:id="rId12" w:history="1">
        <w:r w:rsidRPr="0085740B">
          <w:rPr>
            <w:rStyle w:val="Hyperlink"/>
          </w:rPr>
          <w:t>https://icycleweather.wixsite.com/iceandcycling/5-2-1-1</w:t>
        </w:r>
      </w:hyperlink>
      <w:r w:rsidRPr="0085740B">
        <w:t xml:space="preserve"> </w:t>
      </w:r>
      <w:r w:rsidR="00C36541" w:rsidRPr="0085740B">
        <w:t xml:space="preserve">: </w:t>
      </w:r>
      <w:r w:rsidR="00C36541" w:rsidRPr="0085740B">
        <w:rPr>
          <w:rFonts w:asciiTheme="minorHAnsi" w:hAnsiTheme="minorHAnsi" w:cstheme="minorHAnsi"/>
        </w:rPr>
        <w:t>Accessed 26/07/2022</w:t>
      </w:r>
    </w:p>
  </w:footnote>
  <w:footnote w:id="13">
    <w:p w14:paraId="5D431F39" w14:textId="0C671AFE" w:rsidR="00007A83" w:rsidRPr="0085740B" w:rsidRDefault="00007A83" w:rsidP="001A27F8">
      <w:pPr>
        <w:jc w:val="left"/>
        <w:rPr>
          <w:sz w:val="20"/>
          <w:szCs w:val="20"/>
        </w:rPr>
      </w:pPr>
      <w:r w:rsidRPr="0085740B">
        <w:rPr>
          <w:rStyle w:val="FootnoteReference"/>
          <w:sz w:val="20"/>
          <w:szCs w:val="20"/>
        </w:rPr>
        <w:footnoteRef/>
      </w:r>
      <w:r w:rsidRPr="0085740B">
        <w:rPr>
          <w:sz w:val="20"/>
          <w:szCs w:val="20"/>
        </w:rPr>
        <w:t xml:space="preserve"> Sustrans</w:t>
      </w:r>
      <w:r w:rsidR="00C36541" w:rsidRPr="0085740B">
        <w:rPr>
          <w:sz w:val="20"/>
          <w:szCs w:val="20"/>
        </w:rPr>
        <w:t xml:space="preserve"> (2018) </w:t>
      </w:r>
      <w:r w:rsidRPr="0085740B">
        <w:rPr>
          <w:sz w:val="20"/>
          <w:szCs w:val="20"/>
        </w:rPr>
        <w:t xml:space="preserve"> Ice major cause of cycling accidents… and what can be done about it. </w:t>
      </w:r>
      <w:hyperlink r:id="rId13" w:history="1">
        <w:r w:rsidRPr="0085740B">
          <w:rPr>
            <w:rStyle w:val="Hyperlink"/>
            <w:sz w:val="20"/>
            <w:szCs w:val="20"/>
          </w:rPr>
          <w:t>https://www.sustrans.org.uk/our-blog/opinion/2018/november/ice-major-cause-of-cycling-accidentsand-what-can-be-done-about-it/</w:t>
        </w:r>
      </w:hyperlink>
      <w:r w:rsidR="00C36541" w:rsidRPr="0085740B">
        <w:rPr>
          <w:sz w:val="20"/>
          <w:szCs w:val="20"/>
        </w:rPr>
        <w:t>:</w:t>
      </w:r>
      <w:r w:rsidR="00C36541" w:rsidRPr="0085740B">
        <w:rPr>
          <w:rFonts w:asciiTheme="minorHAnsi" w:hAnsiTheme="minorHAnsi" w:cstheme="minorHAnsi"/>
          <w:sz w:val="20"/>
          <w:szCs w:val="20"/>
        </w:rPr>
        <w:t xml:space="preserve"> Accessed 26/07/2022</w:t>
      </w:r>
    </w:p>
  </w:footnote>
  <w:footnote w:id="14">
    <w:p w14:paraId="352C8D65" w14:textId="7C9BA192" w:rsidR="00007A83" w:rsidRPr="0085740B" w:rsidRDefault="00007A83">
      <w:pPr>
        <w:pStyle w:val="FootnoteText"/>
      </w:pPr>
      <w:r w:rsidRPr="0085740B">
        <w:rPr>
          <w:rStyle w:val="FootnoteReference"/>
        </w:rPr>
        <w:footnoteRef/>
      </w:r>
      <w:r w:rsidRPr="0085740B">
        <w:t xml:space="preserve"> Daniels K, Benington R</w:t>
      </w:r>
      <w:r w:rsidR="00C36541" w:rsidRPr="0085740B">
        <w:t>. (2017)</w:t>
      </w:r>
      <w:r w:rsidRPr="0085740B">
        <w:t xml:space="preserve"> Delivering Accident Prevention at local level in the new public health system, Part 2: Accident prevention in practice. </w:t>
      </w:r>
      <w:hyperlink r:id="rId14" w:history="1">
        <w:r w:rsidRPr="0085740B">
          <w:rPr>
            <w:rStyle w:val="Hyperlink"/>
          </w:rPr>
          <w:t>https://www.rospa.com/rospaweb/docs/advice-services/public-health/rs3-non-collision-casestudy-edition2.pdf</w:t>
        </w:r>
      </w:hyperlink>
      <w:r w:rsidR="0085740B" w:rsidRPr="0085740B">
        <w:t xml:space="preserve">: </w:t>
      </w:r>
      <w:r w:rsidR="0085740B" w:rsidRPr="0085740B">
        <w:rPr>
          <w:rFonts w:asciiTheme="minorHAnsi" w:hAnsiTheme="minorHAnsi" w:cstheme="minorHAnsi"/>
        </w:rPr>
        <w:t>Accessed 26/07/2022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22934" w14:textId="77777777" w:rsidR="00A56EB4" w:rsidRDefault="00D246AA" w:rsidP="00AE0805">
    <w:pPr>
      <w:pStyle w:val="Header"/>
      <w:ind w:left="-426"/>
    </w:pPr>
    <w:r>
      <w:rPr>
        <w:noProof/>
        <w:lang w:eastAsia="en-GB"/>
      </w:rPr>
      <mc:AlternateContent>
        <mc:Choice Requires="wps">
          <w:drawing>
            <wp:anchor distT="0" distB="0" distL="114300" distR="114300" simplePos="0" relativeHeight="251659264" behindDoc="0" locked="0" layoutInCell="1" allowOverlap="1" wp14:anchorId="48A2C330" wp14:editId="785AE84E">
              <wp:simplePos x="0" y="0"/>
              <wp:positionH relativeFrom="column">
                <wp:posOffset>-191135</wp:posOffset>
              </wp:positionH>
              <wp:positionV relativeFrom="paragraph">
                <wp:posOffset>657225</wp:posOffset>
              </wp:positionV>
              <wp:extent cx="6656705" cy="38227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6705"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BDEFA" w14:textId="3A61D97D" w:rsidR="00A56EB4" w:rsidRPr="00FA2C22" w:rsidRDefault="00A56EB4" w:rsidP="00AE0805">
                          <w:pPr>
                            <w:rPr>
                              <w:color w:val="001E62"/>
                            </w:rPr>
                          </w:pPr>
                          <w:r>
                            <w:rPr>
                              <w:color w:val="001E62"/>
                            </w:rPr>
                            <w:t xml:space="preserve">Road </w:t>
                          </w:r>
                          <w:r w:rsidR="00A812B5">
                            <w:rPr>
                              <w:color w:val="001E62"/>
                            </w:rPr>
                            <w:t>s</w:t>
                          </w:r>
                          <w:r>
                            <w:rPr>
                              <w:color w:val="001E62"/>
                            </w:rPr>
                            <w:t xml:space="preserve">afety </w:t>
                          </w:r>
                          <w:r w:rsidR="00A812B5">
                            <w:rPr>
                              <w:color w:val="001E62"/>
                            </w:rPr>
                            <w:t>f</w:t>
                          </w:r>
                          <w:r>
                            <w:rPr>
                              <w:color w:val="001E62"/>
                            </w:rPr>
                            <w:t xml:space="preserve">actsheet: Cycling </w:t>
                          </w:r>
                          <w:r w:rsidR="00A812B5">
                            <w:rPr>
                              <w:color w:val="001E62"/>
                            </w:rPr>
                            <w:t>a</w:t>
                          </w:r>
                          <w:r>
                            <w:rPr>
                              <w:color w:val="001E62"/>
                            </w:rPr>
                            <w:t>ccidents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A2C330" id="_x0000_t202" coordsize="21600,21600" o:spt="202" path="m,l,21600r21600,l21600,xe">
              <v:stroke joinstyle="miter"/>
              <v:path gradientshapeok="t" o:connecttype="rect"/>
            </v:shapetype>
            <v:shape id="Text Box 23" o:spid="_x0000_s1027" type="#_x0000_t202" style="position:absolute;left:0;text-align:left;margin-left:-15.05pt;margin-top:51.75pt;width:524.1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" stroked="f">
              <v:path arrowok="t"/>
              <v:textbox>
                <w:txbxContent>
                  <w:p w14:paraId="4BCBDEFA" w14:textId="3A61D97D" w:rsidR="00A56EB4" w:rsidRPr="00FA2C22" w:rsidRDefault="00A56EB4" w:rsidP="00AE0805">
                    <w:pPr>
                      <w:rPr>
                        <w:color w:val="001E62"/>
                      </w:rPr>
                    </w:pPr>
                    <w:r>
                      <w:rPr>
                        <w:color w:val="001E62"/>
                      </w:rPr>
                      <w:t xml:space="preserve">Road </w:t>
                    </w:r>
                    <w:r w:rsidR="00A812B5">
                      <w:rPr>
                        <w:color w:val="001E62"/>
                      </w:rPr>
                      <w:t>s</w:t>
                    </w:r>
                    <w:r>
                      <w:rPr>
                        <w:color w:val="001E62"/>
                      </w:rPr>
                      <w:t xml:space="preserve">afety </w:t>
                    </w:r>
                    <w:r w:rsidR="00A812B5">
                      <w:rPr>
                        <w:color w:val="001E62"/>
                      </w:rPr>
                      <w:t>f</w:t>
                    </w:r>
                    <w:r>
                      <w:rPr>
                        <w:color w:val="001E62"/>
                      </w:rPr>
                      <w:t xml:space="preserve">actsheet: Cycling </w:t>
                    </w:r>
                    <w:r w:rsidR="00A812B5">
                      <w:rPr>
                        <w:color w:val="001E62"/>
                      </w:rPr>
                      <w:t>a</w:t>
                    </w:r>
                    <w:r>
                      <w:rPr>
                        <w:color w:val="001E62"/>
                      </w:rPr>
                      <w:t>ccidents</w:t>
                    </w:r>
                  </w:p>
                </w:txbxContent>
              </v:textbox>
            </v:shape>
          </w:pict>
        </mc:Fallback>
      </mc:AlternateContent>
    </w:r>
    <w:r w:rsidRPr="00B7524B">
      <w:rPr>
        <w:noProof/>
        <w:lang w:eastAsia="en-GB"/>
      </w:rPr>
      <mc:AlternateContent>
        <mc:Choice Requires="wps">
          <w:drawing>
            <wp:anchor distT="0" distB="0" distL="114300" distR="114300" simplePos="0" relativeHeight="251658240" behindDoc="0" locked="0" layoutInCell="1" allowOverlap="1" wp14:anchorId="19001843" wp14:editId="33AF810E">
              <wp:simplePos x="0" y="0"/>
              <wp:positionH relativeFrom="column">
                <wp:posOffset>3268980</wp:posOffset>
              </wp:positionH>
              <wp:positionV relativeFrom="paragraph">
                <wp:posOffset>-51435</wp:posOffset>
              </wp:positionV>
              <wp:extent cx="3507740" cy="480695"/>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7740"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FDD31" w14:textId="77777777" w:rsidR="00A56EB4" w:rsidRPr="005E1298" w:rsidRDefault="00A56EB4" w:rsidP="00AE0805">
                          <w:pPr>
                            <w:rPr>
                              <w:color w:val="001E62"/>
                              <w:sz w:val="24"/>
                              <w:szCs w:val="24"/>
                            </w:rPr>
                          </w:pPr>
                          <w:r w:rsidRPr="005E1298">
                            <w:rPr>
                              <w:color w:val="001E62"/>
                              <w:sz w:val="24"/>
                              <w:szCs w:val="24"/>
                            </w:rPr>
                            <w:t>The Royal Society for the Prevention of Accidents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001843" id="Text Box 22" o:spid="_x0000_s1028" type="#_x0000_t202" style="position:absolute;left:0;text-align:left;margin-left:257.4pt;margin-top:-4.05pt;width:276.2pt;height:37.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" stroked="f">
              <v:path arrowok="t"/>
              <v:textbox style="mso-fit-shape-to-text:t">
                <w:txbxContent>
                  <w:p w14:paraId="19FFDD31" w14:textId="77777777" w:rsidR="00A56EB4" w:rsidRPr="005E1298" w:rsidRDefault="00A56EB4" w:rsidP="00AE0805">
                    <w:pPr>
                      <w:rPr>
                        <w:color w:val="001E62"/>
                        <w:sz w:val="24"/>
                        <w:szCs w:val="24"/>
                      </w:rPr>
                    </w:pPr>
                    <w:r w:rsidRPr="005E1298">
                      <w:rPr>
                        <w:color w:val="001E62"/>
                        <w:sz w:val="24"/>
                        <w:szCs w:val="24"/>
                      </w:rPr>
                      <w:t>The Royal Society for the Prevention of Accidents</w:t>
                    </w:r>
                  </w:p>
                </w:txbxContent>
              </v:textbox>
            </v:shape>
          </w:pict>
        </mc:Fallback>
      </mc:AlternateContent>
    </w:r>
    <w:r w:rsidRPr="00CE0C24">
      <w:rPr>
        <w:noProof/>
        <w:lang w:eastAsia="en-GB"/>
      </w:rPr>
      <w:drawing>
        <wp:inline distT="0" distB="0" distL="0" distR="0" wp14:anchorId="6EF6D132" wp14:editId="0DC46693">
          <wp:extent cx="2082800" cy="596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596900"/>
                  </a:xfrm>
                  <a:prstGeom prst="rect">
                    <a:avLst/>
                  </a:prstGeom>
                  <a:noFill/>
                  <a:ln>
                    <a:noFill/>
                  </a:ln>
                </pic:spPr>
              </pic:pic>
            </a:graphicData>
          </a:graphic>
        </wp:inline>
      </w:drawing>
    </w:r>
  </w:p>
  <w:p w14:paraId="38D35BA6" w14:textId="77777777" w:rsidR="00A56EB4" w:rsidRDefault="00A56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Template for speach bubble purple"/>
      </v:shape>
    </w:pict>
  </w:numPicBullet>
  <w:numPicBullet w:numPicBulletId="1">
    <w:pict>
      <v:shape id="_x0000_i1027" type="#_x0000_t75" style="width:16pt;height:16pt" o:bullet="t">
        <v:imagedata r:id="rId2" o:title="speechtest5"/>
      </v:shape>
    </w:pict>
  </w:numPicBullet>
  <w:numPicBullet w:numPicBulletId="2">
    <w:pict>
      <v:shape id="_x0000_i1028" type="#_x0000_t75" style="width:17.7pt;height:17.7pt" o:bullet="t">
        <v:imagedata r:id="rId3" o:title="middlegreenbubble"/>
      </v:shape>
    </w:pict>
  </w:numPicBullet>
  <w:numPicBullet w:numPicBulletId="3">
    <w:pict>
      <v:shape id="_x0000_i1029" type="#_x0000_t75" style="width:17.7pt;height:17.7pt" o:bullet="t">
        <v:imagedata r:id="rId4" o:title="middle orange bubble"/>
      </v:shape>
    </w:pict>
  </w:numPicBullet>
  <w:numPicBullet w:numPicBulletId="4">
    <w:pict>
      <v:shape id="_x0000_i1030" type="#_x0000_t75" style="width:12.5pt;height:11.3pt" o:bullet="t">
        <v:imagedata r:id="rId5" o:title="yellow speech 2"/>
      </v:shape>
    </w:pict>
  </w:numPicBullet>
  <w:numPicBullet w:numPicBulletId="5">
    <w:pict>
      <v:shape id="_x0000_i1031" type="#_x0000_t75" style="width:3in;height:3in" o:bullet="t">
        <v:imagedata r:id="rId6" o:title="yellow"/>
      </v:shape>
    </w:pict>
  </w:numPicBullet>
  <w:numPicBullet w:numPicBulletId="6">
    <w:pict>
      <v:shape id="_x0000_i1032" type="#_x0000_t75" style="width:15.05pt;height:13.25pt" o:bullet="t">
        <v:imagedata r:id="rId7" o:title="orange bright"/>
      </v:shape>
    </w:pict>
  </w:numPicBullet>
  <w:numPicBullet w:numPicBulletId="7">
    <w:pict>
      <v:shape id="_x0000_i1033" type="#_x0000_t75" style="width:15.05pt;height:13.25pt" o:bullet="t">
        <v:imagedata r:id="rId8" o:title="mid blue"/>
      </v:shape>
    </w:pict>
  </w:numPicBullet>
  <w:abstractNum w:abstractNumId="0" w15:restartNumberingAfterBreak="0">
    <w:nsid w:val="0497541E"/>
    <w:multiLevelType w:val="hybridMultilevel"/>
    <w:tmpl w:val="9D1E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0B5C"/>
    <w:multiLevelType w:val="hybridMultilevel"/>
    <w:tmpl w:val="808E5562"/>
    <w:lvl w:ilvl="0" w:tplc="F2309C9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94182"/>
    <w:multiLevelType w:val="hybridMultilevel"/>
    <w:tmpl w:val="9DA4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B7B99"/>
    <w:multiLevelType w:val="hybridMultilevel"/>
    <w:tmpl w:val="CF2A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41770"/>
    <w:multiLevelType w:val="hybridMultilevel"/>
    <w:tmpl w:val="9EBE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3733A"/>
    <w:multiLevelType w:val="hybridMultilevel"/>
    <w:tmpl w:val="70BE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50AD8"/>
    <w:multiLevelType w:val="hybridMultilevel"/>
    <w:tmpl w:val="644E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76C4F"/>
    <w:multiLevelType w:val="multilevel"/>
    <w:tmpl w:val="FF9CC056"/>
    <w:lvl w:ilvl="0">
      <w:start w:val="1"/>
      <w:numFmt w:val="bullet"/>
      <w:pStyle w:val="ListParagraph"/>
      <w:lvlText w:val=""/>
      <w:lvlJc w:val="left"/>
      <w:pPr>
        <w:ind w:left="717" w:hanging="360"/>
      </w:pPr>
      <w:rPr>
        <w:rFonts w:ascii="Symbol" w:hAnsi="Symbol" w:hint="default"/>
        <w:color w:val="001E62"/>
        <w:u w:color="92D050"/>
      </w:rPr>
    </w:lvl>
    <w:lvl w:ilvl="1">
      <w:start w:val="1"/>
      <w:numFmt w:val="bullet"/>
      <w:lvlText w:val=""/>
      <w:lvlJc w:val="left"/>
      <w:pPr>
        <w:ind w:left="1440" w:hanging="360"/>
      </w:pPr>
      <w:rPr>
        <w:rFonts w:ascii="Wingdings" w:hAnsi="Wingdings" w:hint="default"/>
        <w:u w:color="FF671F"/>
      </w:rPr>
    </w:lvl>
    <w:lvl w:ilvl="2">
      <w:start w:val="1"/>
      <w:numFmt w:val="bullet"/>
      <w:lvlText w:val=""/>
      <w:lvlJc w:val="left"/>
      <w:pPr>
        <w:ind w:left="2160" w:hanging="360"/>
      </w:pPr>
      <w:rPr>
        <w:rFonts w:ascii="Wingdings" w:hAnsi="Wingdings" w:hint="default"/>
        <w:u w:color="FF671F"/>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C35050"/>
    <w:multiLevelType w:val="hybridMultilevel"/>
    <w:tmpl w:val="BBE0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847D3"/>
    <w:multiLevelType w:val="hybridMultilevel"/>
    <w:tmpl w:val="35A4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867C2"/>
    <w:multiLevelType w:val="hybridMultilevel"/>
    <w:tmpl w:val="9A08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15E76"/>
    <w:multiLevelType w:val="multilevel"/>
    <w:tmpl w:val="854E82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C7F1D49"/>
    <w:multiLevelType w:val="multilevel"/>
    <w:tmpl w:val="854E82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CE557ED"/>
    <w:multiLevelType w:val="hybridMultilevel"/>
    <w:tmpl w:val="E7B2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A50AE"/>
    <w:multiLevelType w:val="hybridMultilevel"/>
    <w:tmpl w:val="D5CA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E364F"/>
    <w:multiLevelType w:val="multilevel"/>
    <w:tmpl w:val="854E82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CA21E3A"/>
    <w:multiLevelType w:val="hybridMultilevel"/>
    <w:tmpl w:val="AD20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1013E"/>
    <w:multiLevelType w:val="hybridMultilevel"/>
    <w:tmpl w:val="B68E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065B9"/>
    <w:multiLevelType w:val="hybridMultilevel"/>
    <w:tmpl w:val="4EF2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42E19"/>
    <w:multiLevelType w:val="hybridMultilevel"/>
    <w:tmpl w:val="86F2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228F0"/>
    <w:multiLevelType w:val="multilevel"/>
    <w:tmpl w:val="6690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D1858"/>
    <w:multiLevelType w:val="hybridMultilevel"/>
    <w:tmpl w:val="2118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C724D"/>
    <w:multiLevelType w:val="hybridMultilevel"/>
    <w:tmpl w:val="AE92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F04757"/>
    <w:multiLevelType w:val="hybridMultilevel"/>
    <w:tmpl w:val="4A2E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52101"/>
    <w:multiLevelType w:val="hybridMultilevel"/>
    <w:tmpl w:val="7472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C4F02"/>
    <w:multiLevelType w:val="hybridMultilevel"/>
    <w:tmpl w:val="75A6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D3CCC"/>
    <w:multiLevelType w:val="hybridMultilevel"/>
    <w:tmpl w:val="2586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70DFA"/>
    <w:multiLevelType w:val="hybridMultilevel"/>
    <w:tmpl w:val="76D2DE2E"/>
    <w:lvl w:ilvl="0" w:tplc="F7E24A4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5"/>
  </w:num>
  <w:num w:numId="4">
    <w:abstractNumId w:val="12"/>
  </w:num>
  <w:num w:numId="5">
    <w:abstractNumId w:val="11"/>
  </w:num>
  <w:num w:numId="6">
    <w:abstractNumId w:val="24"/>
  </w:num>
  <w:num w:numId="7">
    <w:abstractNumId w:val="3"/>
  </w:num>
  <w:num w:numId="8">
    <w:abstractNumId w:val="0"/>
  </w:num>
  <w:num w:numId="9">
    <w:abstractNumId w:val="18"/>
  </w:num>
  <w:num w:numId="10">
    <w:abstractNumId w:val="8"/>
  </w:num>
  <w:num w:numId="11">
    <w:abstractNumId w:val="13"/>
  </w:num>
  <w:num w:numId="12">
    <w:abstractNumId w:val="5"/>
  </w:num>
  <w:num w:numId="13">
    <w:abstractNumId w:val="17"/>
  </w:num>
  <w:num w:numId="14">
    <w:abstractNumId w:val="16"/>
  </w:num>
  <w:num w:numId="15">
    <w:abstractNumId w:val="2"/>
  </w:num>
  <w:num w:numId="16">
    <w:abstractNumId w:val="4"/>
  </w:num>
  <w:num w:numId="17">
    <w:abstractNumId w:val="22"/>
  </w:num>
  <w:num w:numId="18">
    <w:abstractNumId w:val="10"/>
  </w:num>
  <w:num w:numId="19">
    <w:abstractNumId w:val="26"/>
  </w:num>
  <w:num w:numId="20">
    <w:abstractNumId w:val="6"/>
  </w:num>
  <w:num w:numId="21">
    <w:abstractNumId w:val="23"/>
  </w:num>
  <w:num w:numId="22">
    <w:abstractNumId w:val="9"/>
  </w:num>
  <w:num w:numId="23">
    <w:abstractNumId w:val="25"/>
  </w:num>
  <w:num w:numId="24">
    <w:abstractNumId w:val="21"/>
  </w:num>
  <w:num w:numId="25">
    <w:abstractNumId w:val="19"/>
  </w:num>
  <w:num w:numId="26">
    <w:abstractNumId w:val="1"/>
  </w:num>
  <w:num w:numId="27">
    <w:abstractNumId w:val="27"/>
  </w:num>
  <w:num w:numId="2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C"/>
    <w:rsid w:val="0000303F"/>
    <w:rsid w:val="00007A83"/>
    <w:rsid w:val="00010392"/>
    <w:rsid w:val="0001164C"/>
    <w:rsid w:val="00013821"/>
    <w:rsid w:val="00016A99"/>
    <w:rsid w:val="00026B36"/>
    <w:rsid w:val="00033720"/>
    <w:rsid w:val="000414E8"/>
    <w:rsid w:val="00045239"/>
    <w:rsid w:val="00053301"/>
    <w:rsid w:val="00053F44"/>
    <w:rsid w:val="00070FB5"/>
    <w:rsid w:val="00075241"/>
    <w:rsid w:val="0007636D"/>
    <w:rsid w:val="0008148A"/>
    <w:rsid w:val="00081B3A"/>
    <w:rsid w:val="00083B2A"/>
    <w:rsid w:val="000860DF"/>
    <w:rsid w:val="00092420"/>
    <w:rsid w:val="000B06D9"/>
    <w:rsid w:val="000B4DB1"/>
    <w:rsid w:val="000C133E"/>
    <w:rsid w:val="000D11EC"/>
    <w:rsid w:val="000D46DD"/>
    <w:rsid w:val="000D4907"/>
    <w:rsid w:val="000D642C"/>
    <w:rsid w:val="000D7629"/>
    <w:rsid w:val="000E543A"/>
    <w:rsid w:val="000F692F"/>
    <w:rsid w:val="000F729D"/>
    <w:rsid w:val="0010104B"/>
    <w:rsid w:val="00102A7D"/>
    <w:rsid w:val="001077B3"/>
    <w:rsid w:val="00113CDC"/>
    <w:rsid w:val="001145E6"/>
    <w:rsid w:val="0012098F"/>
    <w:rsid w:val="001249DC"/>
    <w:rsid w:val="00132413"/>
    <w:rsid w:val="001340B9"/>
    <w:rsid w:val="00143A06"/>
    <w:rsid w:val="0014598D"/>
    <w:rsid w:val="00146335"/>
    <w:rsid w:val="0014758F"/>
    <w:rsid w:val="00152ECD"/>
    <w:rsid w:val="00163A39"/>
    <w:rsid w:val="00173BDB"/>
    <w:rsid w:val="00174431"/>
    <w:rsid w:val="00174C2C"/>
    <w:rsid w:val="00175EEA"/>
    <w:rsid w:val="00180D2C"/>
    <w:rsid w:val="001841C7"/>
    <w:rsid w:val="001901FA"/>
    <w:rsid w:val="001A27F8"/>
    <w:rsid w:val="001A43C1"/>
    <w:rsid w:val="001A626F"/>
    <w:rsid w:val="001B2E23"/>
    <w:rsid w:val="001C2585"/>
    <w:rsid w:val="001C3A22"/>
    <w:rsid w:val="001D2C97"/>
    <w:rsid w:val="001D754D"/>
    <w:rsid w:val="001D7CC7"/>
    <w:rsid w:val="001E1152"/>
    <w:rsid w:val="001E2667"/>
    <w:rsid w:val="001E48C9"/>
    <w:rsid w:val="001E4B86"/>
    <w:rsid w:val="001F4C07"/>
    <w:rsid w:val="0021276E"/>
    <w:rsid w:val="00213693"/>
    <w:rsid w:val="0021474F"/>
    <w:rsid w:val="00215F00"/>
    <w:rsid w:val="002215E8"/>
    <w:rsid w:val="002373F6"/>
    <w:rsid w:val="00243253"/>
    <w:rsid w:val="002462C9"/>
    <w:rsid w:val="00247247"/>
    <w:rsid w:val="00252277"/>
    <w:rsid w:val="00267FD7"/>
    <w:rsid w:val="00273718"/>
    <w:rsid w:val="00274785"/>
    <w:rsid w:val="002825C1"/>
    <w:rsid w:val="0028478D"/>
    <w:rsid w:val="00286800"/>
    <w:rsid w:val="002912F8"/>
    <w:rsid w:val="002A1088"/>
    <w:rsid w:val="002A1C4B"/>
    <w:rsid w:val="002A219C"/>
    <w:rsid w:val="002A3D47"/>
    <w:rsid w:val="002A5587"/>
    <w:rsid w:val="002B54CD"/>
    <w:rsid w:val="002C3AC5"/>
    <w:rsid w:val="002C7E07"/>
    <w:rsid w:val="002D04B7"/>
    <w:rsid w:val="002D34D6"/>
    <w:rsid w:val="002D532C"/>
    <w:rsid w:val="002E2A15"/>
    <w:rsid w:val="002F33EC"/>
    <w:rsid w:val="00301DE3"/>
    <w:rsid w:val="00305855"/>
    <w:rsid w:val="00317C7F"/>
    <w:rsid w:val="00327EAD"/>
    <w:rsid w:val="00330B8E"/>
    <w:rsid w:val="00334DD6"/>
    <w:rsid w:val="00335292"/>
    <w:rsid w:val="0035105B"/>
    <w:rsid w:val="00360F80"/>
    <w:rsid w:val="00383EC1"/>
    <w:rsid w:val="00397F19"/>
    <w:rsid w:val="003A02E0"/>
    <w:rsid w:val="003A3D95"/>
    <w:rsid w:val="003A410F"/>
    <w:rsid w:val="003A5BF9"/>
    <w:rsid w:val="003A6898"/>
    <w:rsid w:val="003B0654"/>
    <w:rsid w:val="003B28AC"/>
    <w:rsid w:val="003C0DA4"/>
    <w:rsid w:val="003D1603"/>
    <w:rsid w:val="003D7AE5"/>
    <w:rsid w:val="003E43C6"/>
    <w:rsid w:val="003E7E0B"/>
    <w:rsid w:val="003F0425"/>
    <w:rsid w:val="003F44FD"/>
    <w:rsid w:val="003F6F4C"/>
    <w:rsid w:val="004016FB"/>
    <w:rsid w:val="00401DAF"/>
    <w:rsid w:val="00402534"/>
    <w:rsid w:val="00404578"/>
    <w:rsid w:val="004074B4"/>
    <w:rsid w:val="00433DE2"/>
    <w:rsid w:val="00437453"/>
    <w:rsid w:val="00446884"/>
    <w:rsid w:val="004514E2"/>
    <w:rsid w:val="00456B12"/>
    <w:rsid w:val="00456FF1"/>
    <w:rsid w:val="0046421B"/>
    <w:rsid w:val="00466472"/>
    <w:rsid w:val="00466C42"/>
    <w:rsid w:val="00471B17"/>
    <w:rsid w:val="004905DB"/>
    <w:rsid w:val="00492094"/>
    <w:rsid w:val="00492818"/>
    <w:rsid w:val="0049667D"/>
    <w:rsid w:val="004A152D"/>
    <w:rsid w:val="004A7D68"/>
    <w:rsid w:val="004B58DA"/>
    <w:rsid w:val="004C23A6"/>
    <w:rsid w:val="004C5CDB"/>
    <w:rsid w:val="004D7DA4"/>
    <w:rsid w:val="004E4316"/>
    <w:rsid w:val="004E540F"/>
    <w:rsid w:val="004F4CA1"/>
    <w:rsid w:val="004F6482"/>
    <w:rsid w:val="00501EA7"/>
    <w:rsid w:val="00502812"/>
    <w:rsid w:val="00507603"/>
    <w:rsid w:val="0052219D"/>
    <w:rsid w:val="00522D7D"/>
    <w:rsid w:val="00524C96"/>
    <w:rsid w:val="00527958"/>
    <w:rsid w:val="00532F28"/>
    <w:rsid w:val="00541179"/>
    <w:rsid w:val="0054268A"/>
    <w:rsid w:val="00551596"/>
    <w:rsid w:val="0055610B"/>
    <w:rsid w:val="00556DF7"/>
    <w:rsid w:val="005612B5"/>
    <w:rsid w:val="00564E4C"/>
    <w:rsid w:val="00566939"/>
    <w:rsid w:val="00566972"/>
    <w:rsid w:val="00566F70"/>
    <w:rsid w:val="0057092B"/>
    <w:rsid w:val="00573342"/>
    <w:rsid w:val="00576945"/>
    <w:rsid w:val="005806CB"/>
    <w:rsid w:val="00584DA1"/>
    <w:rsid w:val="00587D7B"/>
    <w:rsid w:val="00590CC9"/>
    <w:rsid w:val="005A0277"/>
    <w:rsid w:val="005A3EDA"/>
    <w:rsid w:val="005A7242"/>
    <w:rsid w:val="005B0A2B"/>
    <w:rsid w:val="005C0695"/>
    <w:rsid w:val="005C581B"/>
    <w:rsid w:val="005C5E47"/>
    <w:rsid w:val="005C5ECE"/>
    <w:rsid w:val="005D0450"/>
    <w:rsid w:val="005D0A88"/>
    <w:rsid w:val="005E0258"/>
    <w:rsid w:val="005E0DB4"/>
    <w:rsid w:val="005E1298"/>
    <w:rsid w:val="005E3BE7"/>
    <w:rsid w:val="005F1223"/>
    <w:rsid w:val="006036D1"/>
    <w:rsid w:val="006058E0"/>
    <w:rsid w:val="00606C92"/>
    <w:rsid w:val="00612D7D"/>
    <w:rsid w:val="00620836"/>
    <w:rsid w:val="0062370C"/>
    <w:rsid w:val="00624277"/>
    <w:rsid w:val="00625125"/>
    <w:rsid w:val="00625A87"/>
    <w:rsid w:val="00625D6D"/>
    <w:rsid w:val="00626DFD"/>
    <w:rsid w:val="006346E9"/>
    <w:rsid w:val="006514CB"/>
    <w:rsid w:val="00651AD5"/>
    <w:rsid w:val="00681EF9"/>
    <w:rsid w:val="00687B78"/>
    <w:rsid w:val="0069186D"/>
    <w:rsid w:val="00693BC2"/>
    <w:rsid w:val="006A0B4A"/>
    <w:rsid w:val="006A2200"/>
    <w:rsid w:val="006A646F"/>
    <w:rsid w:val="006A6F66"/>
    <w:rsid w:val="006B23C8"/>
    <w:rsid w:val="006C13F4"/>
    <w:rsid w:val="006C5A8C"/>
    <w:rsid w:val="006C69F4"/>
    <w:rsid w:val="006C7822"/>
    <w:rsid w:val="006D5419"/>
    <w:rsid w:val="006D7135"/>
    <w:rsid w:val="006D7C6B"/>
    <w:rsid w:val="006D7D0B"/>
    <w:rsid w:val="006E4C84"/>
    <w:rsid w:val="006E74AB"/>
    <w:rsid w:val="006F3185"/>
    <w:rsid w:val="006F39F2"/>
    <w:rsid w:val="006F7FBA"/>
    <w:rsid w:val="00701F9A"/>
    <w:rsid w:val="00702B06"/>
    <w:rsid w:val="0070609F"/>
    <w:rsid w:val="00716F2E"/>
    <w:rsid w:val="00721098"/>
    <w:rsid w:val="00721277"/>
    <w:rsid w:val="00731BC6"/>
    <w:rsid w:val="00733F3D"/>
    <w:rsid w:val="00746241"/>
    <w:rsid w:val="00746B77"/>
    <w:rsid w:val="00755D4C"/>
    <w:rsid w:val="007707D2"/>
    <w:rsid w:val="007710AD"/>
    <w:rsid w:val="00771491"/>
    <w:rsid w:val="00771DF4"/>
    <w:rsid w:val="0078582A"/>
    <w:rsid w:val="00794EA5"/>
    <w:rsid w:val="00796FFE"/>
    <w:rsid w:val="00797124"/>
    <w:rsid w:val="00797F4F"/>
    <w:rsid w:val="007A14B2"/>
    <w:rsid w:val="007B6CD6"/>
    <w:rsid w:val="007C6ADC"/>
    <w:rsid w:val="007D0023"/>
    <w:rsid w:val="007D2DCF"/>
    <w:rsid w:val="007D3910"/>
    <w:rsid w:val="007D7DC7"/>
    <w:rsid w:val="007E198C"/>
    <w:rsid w:val="007F1CB5"/>
    <w:rsid w:val="007F5066"/>
    <w:rsid w:val="008065BF"/>
    <w:rsid w:val="008101DE"/>
    <w:rsid w:val="00816803"/>
    <w:rsid w:val="008218E5"/>
    <w:rsid w:val="0083208A"/>
    <w:rsid w:val="008351E2"/>
    <w:rsid w:val="00835DA6"/>
    <w:rsid w:val="0084000C"/>
    <w:rsid w:val="00840CD1"/>
    <w:rsid w:val="00851FEE"/>
    <w:rsid w:val="0085740B"/>
    <w:rsid w:val="0087302D"/>
    <w:rsid w:val="00882748"/>
    <w:rsid w:val="00886219"/>
    <w:rsid w:val="008933A6"/>
    <w:rsid w:val="00895AF0"/>
    <w:rsid w:val="008A363E"/>
    <w:rsid w:val="008A6B70"/>
    <w:rsid w:val="008B5006"/>
    <w:rsid w:val="008C60B5"/>
    <w:rsid w:val="008D3EA5"/>
    <w:rsid w:val="008D68C3"/>
    <w:rsid w:val="008E0E46"/>
    <w:rsid w:val="008E3DC5"/>
    <w:rsid w:val="008E6BB2"/>
    <w:rsid w:val="008F3564"/>
    <w:rsid w:val="009044FB"/>
    <w:rsid w:val="00911506"/>
    <w:rsid w:val="00933789"/>
    <w:rsid w:val="009342FF"/>
    <w:rsid w:val="0093723B"/>
    <w:rsid w:val="00942496"/>
    <w:rsid w:val="00947377"/>
    <w:rsid w:val="00951862"/>
    <w:rsid w:val="00957021"/>
    <w:rsid w:val="009575C3"/>
    <w:rsid w:val="00957DF5"/>
    <w:rsid w:val="009623A1"/>
    <w:rsid w:val="009648B4"/>
    <w:rsid w:val="00971CE5"/>
    <w:rsid w:val="0098068A"/>
    <w:rsid w:val="0098578F"/>
    <w:rsid w:val="00986454"/>
    <w:rsid w:val="00986D91"/>
    <w:rsid w:val="009900BC"/>
    <w:rsid w:val="00993BA3"/>
    <w:rsid w:val="00997F00"/>
    <w:rsid w:val="009A24E5"/>
    <w:rsid w:val="009A3984"/>
    <w:rsid w:val="009A3D41"/>
    <w:rsid w:val="009C1B1A"/>
    <w:rsid w:val="009C23BF"/>
    <w:rsid w:val="009D3B0B"/>
    <w:rsid w:val="009D3E7B"/>
    <w:rsid w:val="009D4403"/>
    <w:rsid w:val="009D51A0"/>
    <w:rsid w:val="009D5263"/>
    <w:rsid w:val="009D56E8"/>
    <w:rsid w:val="009F3DBE"/>
    <w:rsid w:val="009F60F8"/>
    <w:rsid w:val="00A02D90"/>
    <w:rsid w:val="00A02EA9"/>
    <w:rsid w:val="00A1061C"/>
    <w:rsid w:val="00A21016"/>
    <w:rsid w:val="00A27848"/>
    <w:rsid w:val="00A337AB"/>
    <w:rsid w:val="00A429CE"/>
    <w:rsid w:val="00A449AF"/>
    <w:rsid w:val="00A46B4B"/>
    <w:rsid w:val="00A5106D"/>
    <w:rsid w:val="00A56EB4"/>
    <w:rsid w:val="00A570D0"/>
    <w:rsid w:val="00A57EAC"/>
    <w:rsid w:val="00A650CA"/>
    <w:rsid w:val="00A7723C"/>
    <w:rsid w:val="00A77544"/>
    <w:rsid w:val="00A812B5"/>
    <w:rsid w:val="00A845D8"/>
    <w:rsid w:val="00A9734E"/>
    <w:rsid w:val="00AA3246"/>
    <w:rsid w:val="00AA7760"/>
    <w:rsid w:val="00AA7D93"/>
    <w:rsid w:val="00AB0136"/>
    <w:rsid w:val="00AB4554"/>
    <w:rsid w:val="00AC0A82"/>
    <w:rsid w:val="00AC5AFB"/>
    <w:rsid w:val="00AD22D0"/>
    <w:rsid w:val="00AE0805"/>
    <w:rsid w:val="00AE5AD9"/>
    <w:rsid w:val="00AF13C1"/>
    <w:rsid w:val="00AF471A"/>
    <w:rsid w:val="00B00131"/>
    <w:rsid w:val="00B1389E"/>
    <w:rsid w:val="00B23C93"/>
    <w:rsid w:val="00B23E62"/>
    <w:rsid w:val="00B2498C"/>
    <w:rsid w:val="00B24B52"/>
    <w:rsid w:val="00B31041"/>
    <w:rsid w:val="00B36DF2"/>
    <w:rsid w:val="00B37213"/>
    <w:rsid w:val="00B414D9"/>
    <w:rsid w:val="00B4386C"/>
    <w:rsid w:val="00B500D5"/>
    <w:rsid w:val="00B54D16"/>
    <w:rsid w:val="00B631E5"/>
    <w:rsid w:val="00B650DC"/>
    <w:rsid w:val="00B66323"/>
    <w:rsid w:val="00B67CBA"/>
    <w:rsid w:val="00B72BD7"/>
    <w:rsid w:val="00B74917"/>
    <w:rsid w:val="00B7524B"/>
    <w:rsid w:val="00B8115F"/>
    <w:rsid w:val="00B9203D"/>
    <w:rsid w:val="00B94697"/>
    <w:rsid w:val="00B9676B"/>
    <w:rsid w:val="00BB17CA"/>
    <w:rsid w:val="00BC3951"/>
    <w:rsid w:val="00BD393A"/>
    <w:rsid w:val="00BE778C"/>
    <w:rsid w:val="00BE7DEE"/>
    <w:rsid w:val="00BF2448"/>
    <w:rsid w:val="00C00DCA"/>
    <w:rsid w:val="00C04275"/>
    <w:rsid w:val="00C15D1B"/>
    <w:rsid w:val="00C16452"/>
    <w:rsid w:val="00C256E6"/>
    <w:rsid w:val="00C31F26"/>
    <w:rsid w:val="00C36541"/>
    <w:rsid w:val="00C401C9"/>
    <w:rsid w:val="00C444D6"/>
    <w:rsid w:val="00C65582"/>
    <w:rsid w:val="00C72062"/>
    <w:rsid w:val="00C902E4"/>
    <w:rsid w:val="00C97BEB"/>
    <w:rsid w:val="00CA420E"/>
    <w:rsid w:val="00CB2DB5"/>
    <w:rsid w:val="00CC23EC"/>
    <w:rsid w:val="00CC35DD"/>
    <w:rsid w:val="00CC42F8"/>
    <w:rsid w:val="00CC69EC"/>
    <w:rsid w:val="00CE687C"/>
    <w:rsid w:val="00CF2624"/>
    <w:rsid w:val="00D00213"/>
    <w:rsid w:val="00D01013"/>
    <w:rsid w:val="00D02113"/>
    <w:rsid w:val="00D0495F"/>
    <w:rsid w:val="00D06D50"/>
    <w:rsid w:val="00D07D5C"/>
    <w:rsid w:val="00D177D8"/>
    <w:rsid w:val="00D23E5F"/>
    <w:rsid w:val="00D246AA"/>
    <w:rsid w:val="00D24F29"/>
    <w:rsid w:val="00D3165F"/>
    <w:rsid w:val="00D33584"/>
    <w:rsid w:val="00D40681"/>
    <w:rsid w:val="00D43459"/>
    <w:rsid w:val="00D467D9"/>
    <w:rsid w:val="00D60EA2"/>
    <w:rsid w:val="00D67CC3"/>
    <w:rsid w:val="00D75605"/>
    <w:rsid w:val="00D848D4"/>
    <w:rsid w:val="00DA216C"/>
    <w:rsid w:val="00DA2931"/>
    <w:rsid w:val="00DA4231"/>
    <w:rsid w:val="00DA5D93"/>
    <w:rsid w:val="00DA705E"/>
    <w:rsid w:val="00DB3792"/>
    <w:rsid w:val="00DC38CD"/>
    <w:rsid w:val="00DD7699"/>
    <w:rsid w:val="00E21D4A"/>
    <w:rsid w:val="00E30E02"/>
    <w:rsid w:val="00E470DF"/>
    <w:rsid w:val="00E5350A"/>
    <w:rsid w:val="00E53928"/>
    <w:rsid w:val="00E60FC8"/>
    <w:rsid w:val="00E6174C"/>
    <w:rsid w:val="00E66641"/>
    <w:rsid w:val="00E67B8B"/>
    <w:rsid w:val="00E76FB4"/>
    <w:rsid w:val="00E85D95"/>
    <w:rsid w:val="00E9343D"/>
    <w:rsid w:val="00EA5FEA"/>
    <w:rsid w:val="00EA61CA"/>
    <w:rsid w:val="00EB1041"/>
    <w:rsid w:val="00EC424C"/>
    <w:rsid w:val="00EC7902"/>
    <w:rsid w:val="00EE330E"/>
    <w:rsid w:val="00EE428C"/>
    <w:rsid w:val="00EE542C"/>
    <w:rsid w:val="00EE6559"/>
    <w:rsid w:val="00EF088A"/>
    <w:rsid w:val="00EF1B37"/>
    <w:rsid w:val="00EF592F"/>
    <w:rsid w:val="00EF7005"/>
    <w:rsid w:val="00F01E3C"/>
    <w:rsid w:val="00F05B71"/>
    <w:rsid w:val="00F07914"/>
    <w:rsid w:val="00F12B5F"/>
    <w:rsid w:val="00F279C4"/>
    <w:rsid w:val="00F3381F"/>
    <w:rsid w:val="00F35645"/>
    <w:rsid w:val="00F42302"/>
    <w:rsid w:val="00F465C6"/>
    <w:rsid w:val="00F47CC7"/>
    <w:rsid w:val="00F50FE8"/>
    <w:rsid w:val="00F56A8D"/>
    <w:rsid w:val="00F56E70"/>
    <w:rsid w:val="00F6076D"/>
    <w:rsid w:val="00F60782"/>
    <w:rsid w:val="00F84F41"/>
    <w:rsid w:val="00F87221"/>
    <w:rsid w:val="00F87F85"/>
    <w:rsid w:val="00F90AC5"/>
    <w:rsid w:val="00F91F05"/>
    <w:rsid w:val="00F930B8"/>
    <w:rsid w:val="00FA2C22"/>
    <w:rsid w:val="00FB527A"/>
    <w:rsid w:val="00FC0147"/>
    <w:rsid w:val="00FC0E16"/>
    <w:rsid w:val="00FC50A0"/>
    <w:rsid w:val="00FD063B"/>
    <w:rsid w:val="00FE1F98"/>
    <w:rsid w:val="00FE4D34"/>
    <w:rsid w:val="00FE6978"/>
    <w:rsid w:val="00FE6A9A"/>
    <w:rsid w:val="00FF5D41"/>
    <w:rsid w:val="00FF7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AA2A05B"/>
  <w15:chartTrackingRefBased/>
  <w15:docId w15:val="{8B32E3C1-23C0-4A4D-8E00-ED6063FF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54"/>
    <w:pPr>
      <w:spacing w:before="120" w:after="200"/>
      <w:contextualSpacing/>
      <w:jc w:val="both"/>
    </w:pPr>
    <w:rPr>
      <w:sz w:val="22"/>
      <w:szCs w:val="22"/>
      <w:lang w:eastAsia="en-US"/>
    </w:rPr>
  </w:style>
  <w:style w:type="paragraph" w:styleId="Heading1">
    <w:name w:val="heading 1"/>
    <w:basedOn w:val="Normal"/>
    <w:next w:val="Normal"/>
    <w:link w:val="Heading1Char"/>
    <w:uiPriority w:val="9"/>
    <w:qFormat/>
    <w:rsid w:val="00113CDC"/>
    <w:pPr>
      <w:keepNext/>
      <w:keepLines/>
      <w:spacing w:before="200" w:after="0"/>
      <w:jc w:val="left"/>
      <w:outlineLvl w:val="0"/>
    </w:pPr>
    <w:rPr>
      <w:rFonts w:eastAsia="Times New Roman"/>
      <w:b/>
      <w:bCs/>
      <w:color w:val="000062"/>
      <w:sz w:val="32"/>
      <w:szCs w:val="28"/>
    </w:rPr>
  </w:style>
  <w:style w:type="paragraph" w:styleId="Heading2">
    <w:name w:val="heading 2"/>
    <w:basedOn w:val="Normal"/>
    <w:next w:val="Normal"/>
    <w:link w:val="Heading2Char"/>
    <w:uiPriority w:val="9"/>
    <w:unhideWhenUsed/>
    <w:qFormat/>
    <w:rsid w:val="004F4CA1"/>
    <w:pPr>
      <w:keepNext/>
      <w:keepLines/>
      <w:spacing w:after="120"/>
      <w:jc w:val="left"/>
      <w:outlineLvl w:val="1"/>
    </w:pPr>
    <w:rPr>
      <w:rFonts w:eastAsia="Times New Roman"/>
      <w:b/>
      <w:bCs/>
      <w:color w:val="001E62"/>
      <w:sz w:val="28"/>
      <w:szCs w:val="26"/>
    </w:rPr>
  </w:style>
  <w:style w:type="paragraph" w:styleId="Heading3">
    <w:name w:val="heading 3"/>
    <w:basedOn w:val="Normal"/>
    <w:next w:val="Normal"/>
    <w:link w:val="Heading3Char"/>
    <w:uiPriority w:val="9"/>
    <w:unhideWhenUsed/>
    <w:qFormat/>
    <w:rsid w:val="007710AD"/>
    <w:pPr>
      <w:keepNext/>
      <w:keepLines/>
      <w:spacing w:after="0"/>
      <w:jc w:val="left"/>
      <w:outlineLvl w:val="2"/>
    </w:pPr>
    <w:rPr>
      <w:rFonts w:eastAsia="Times New Roman"/>
      <w:b/>
      <w:bCs/>
      <w:color w:val="001E62"/>
      <w:sz w:val="24"/>
    </w:rPr>
  </w:style>
  <w:style w:type="paragraph" w:styleId="Heading4">
    <w:name w:val="heading 4"/>
    <w:basedOn w:val="Normal"/>
    <w:next w:val="Normal"/>
    <w:link w:val="Heading4Char"/>
    <w:uiPriority w:val="9"/>
    <w:unhideWhenUsed/>
    <w:rsid w:val="00FB527A"/>
    <w:pPr>
      <w:keepNext/>
      <w:keepLines/>
      <w:spacing w:before="200" w:after="0"/>
      <w:jc w:val="left"/>
      <w:outlineLvl w:val="3"/>
    </w:pPr>
    <w:rPr>
      <w:rFonts w:eastAsia="Times New Roman"/>
      <w:b/>
      <w:bCs/>
      <w:iCs/>
      <w:color w:val="001E6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70C"/>
    <w:pPr>
      <w:spacing w:after="0"/>
    </w:pPr>
    <w:rPr>
      <w:rFonts w:ascii="Tahoma" w:hAnsi="Tahoma" w:cs="Tahoma"/>
      <w:sz w:val="16"/>
      <w:szCs w:val="16"/>
    </w:rPr>
  </w:style>
  <w:style w:type="character" w:customStyle="1" w:styleId="BalloonTextChar">
    <w:name w:val="Balloon Text Char"/>
    <w:link w:val="BalloonText"/>
    <w:uiPriority w:val="99"/>
    <w:semiHidden/>
    <w:rsid w:val="0062370C"/>
    <w:rPr>
      <w:rFonts w:ascii="Tahoma" w:hAnsi="Tahoma" w:cs="Tahoma"/>
      <w:sz w:val="16"/>
      <w:szCs w:val="16"/>
    </w:rPr>
  </w:style>
  <w:style w:type="table" w:styleId="TableGrid">
    <w:name w:val="Table Grid"/>
    <w:basedOn w:val="TableNormal"/>
    <w:uiPriority w:val="59"/>
    <w:rsid w:val="00623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13CDC"/>
    <w:rPr>
      <w:rFonts w:ascii="Calibri" w:eastAsia="Times New Roman" w:hAnsi="Calibri" w:cs="Times New Roman"/>
      <w:b/>
      <w:bCs/>
      <w:color w:val="000062"/>
      <w:sz w:val="32"/>
      <w:szCs w:val="28"/>
    </w:rPr>
  </w:style>
  <w:style w:type="character" w:customStyle="1" w:styleId="Heading2Char">
    <w:name w:val="Heading 2 Char"/>
    <w:link w:val="Heading2"/>
    <w:uiPriority w:val="9"/>
    <w:rsid w:val="004F4CA1"/>
    <w:rPr>
      <w:rFonts w:ascii="Calibri" w:eastAsia="Times New Roman" w:hAnsi="Calibri" w:cs="Times New Roman"/>
      <w:b/>
      <w:bCs/>
      <w:color w:val="001E62"/>
      <w:sz w:val="28"/>
      <w:szCs w:val="26"/>
    </w:rPr>
  </w:style>
  <w:style w:type="paragraph" w:styleId="Header">
    <w:name w:val="header"/>
    <w:basedOn w:val="Normal"/>
    <w:link w:val="HeaderChar"/>
    <w:uiPriority w:val="99"/>
    <w:unhideWhenUsed/>
    <w:rsid w:val="0035105B"/>
    <w:pPr>
      <w:tabs>
        <w:tab w:val="center" w:pos="4513"/>
        <w:tab w:val="right" w:pos="9026"/>
      </w:tabs>
      <w:spacing w:after="0"/>
    </w:pPr>
  </w:style>
  <w:style w:type="character" w:customStyle="1" w:styleId="HeaderChar">
    <w:name w:val="Header Char"/>
    <w:basedOn w:val="DefaultParagraphFont"/>
    <w:link w:val="Header"/>
    <w:uiPriority w:val="99"/>
    <w:rsid w:val="0035105B"/>
  </w:style>
  <w:style w:type="paragraph" w:styleId="Footer">
    <w:name w:val="footer"/>
    <w:basedOn w:val="Normal"/>
    <w:link w:val="FooterChar"/>
    <w:uiPriority w:val="99"/>
    <w:unhideWhenUsed/>
    <w:rsid w:val="00B94697"/>
    <w:pPr>
      <w:tabs>
        <w:tab w:val="center" w:pos="4513"/>
        <w:tab w:val="right" w:pos="9026"/>
      </w:tabs>
      <w:spacing w:after="0"/>
      <w:ind w:left="-540"/>
    </w:pPr>
    <w:rPr>
      <w:noProof/>
      <w:lang w:eastAsia="en-GB"/>
    </w:rPr>
  </w:style>
  <w:style w:type="character" w:customStyle="1" w:styleId="FooterChar">
    <w:name w:val="Footer Char"/>
    <w:link w:val="Footer"/>
    <w:uiPriority w:val="99"/>
    <w:rsid w:val="00B94697"/>
    <w:rPr>
      <w:noProof/>
      <w:lang w:eastAsia="en-GB"/>
    </w:rPr>
  </w:style>
  <w:style w:type="character" w:customStyle="1" w:styleId="Heading3Char">
    <w:name w:val="Heading 3 Char"/>
    <w:link w:val="Heading3"/>
    <w:uiPriority w:val="9"/>
    <w:rsid w:val="007710AD"/>
    <w:rPr>
      <w:rFonts w:ascii="Calibri" w:eastAsia="Times New Roman" w:hAnsi="Calibri" w:cs="Times New Roman"/>
      <w:b/>
      <w:bCs/>
      <w:color w:val="001E62"/>
      <w:sz w:val="24"/>
    </w:rPr>
  </w:style>
  <w:style w:type="character" w:customStyle="1" w:styleId="Heading4Char">
    <w:name w:val="Heading 4 Char"/>
    <w:link w:val="Heading4"/>
    <w:uiPriority w:val="9"/>
    <w:rsid w:val="00FB527A"/>
    <w:rPr>
      <w:rFonts w:ascii="Calibri" w:eastAsia="Times New Roman" w:hAnsi="Calibri" w:cs="Times New Roman"/>
      <w:b/>
      <w:bCs/>
      <w:iCs/>
      <w:color w:val="001E62"/>
      <w:sz w:val="24"/>
    </w:rPr>
  </w:style>
  <w:style w:type="paragraph" w:styleId="Subtitle">
    <w:name w:val="Subtitle"/>
    <w:basedOn w:val="Normal"/>
    <w:next w:val="Normal"/>
    <w:link w:val="SubtitleChar"/>
    <w:uiPriority w:val="11"/>
    <w:rsid w:val="002912F8"/>
    <w:pPr>
      <w:numPr>
        <w:ilvl w:val="1"/>
      </w:numPr>
    </w:pPr>
    <w:rPr>
      <w:rFonts w:eastAsia="Times New Roman"/>
      <w:i/>
      <w:iCs/>
      <w:color w:val="005162"/>
      <w:spacing w:val="15"/>
      <w:sz w:val="24"/>
      <w:szCs w:val="24"/>
    </w:rPr>
  </w:style>
  <w:style w:type="character" w:customStyle="1" w:styleId="SubtitleChar">
    <w:name w:val="Subtitle Char"/>
    <w:link w:val="Subtitle"/>
    <w:uiPriority w:val="11"/>
    <w:rsid w:val="002912F8"/>
    <w:rPr>
      <w:rFonts w:ascii="Calibri" w:eastAsia="Times New Roman" w:hAnsi="Calibri" w:cs="Times New Roman"/>
      <w:i/>
      <w:iCs/>
      <w:color w:val="005162"/>
      <w:spacing w:val="15"/>
      <w:sz w:val="24"/>
      <w:szCs w:val="24"/>
    </w:rPr>
  </w:style>
  <w:style w:type="character" w:styleId="IntenseEmphasis">
    <w:name w:val="Intense Emphasis"/>
    <w:uiPriority w:val="21"/>
    <w:rsid w:val="002912F8"/>
    <w:rPr>
      <w:b/>
      <w:bCs/>
      <w:i/>
      <w:iCs/>
      <w:color w:val="005162"/>
    </w:rPr>
  </w:style>
  <w:style w:type="paragraph" w:styleId="IntenseQuote">
    <w:name w:val="Intense Quote"/>
    <w:basedOn w:val="Normal"/>
    <w:next w:val="Normal"/>
    <w:link w:val="IntenseQuoteChar"/>
    <w:uiPriority w:val="30"/>
    <w:rsid w:val="002912F8"/>
    <w:pPr>
      <w:pBdr>
        <w:bottom w:val="single" w:sz="4" w:space="4" w:color="FFA300"/>
      </w:pBdr>
      <w:spacing w:before="200" w:after="280"/>
      <w:ind w:left="936" w:right="936"/>
    </w:pPr>
    <w:rPr>
      <w:b/>
      <w:bCs/>
      <w:i/>
      <w:iCs/>
      <w:color w:val="005162"/>
    </w:rPr>
  </w:style>
  <w:style w:type="character" w:customStyle="1" w:styleId="IntenseQuoteChar">
    <w:name w:val="Intense Quote Char"/>
    <w:link w:val="IntenseQuote"/>
    <w:uiPriority w:val="30"/>
    <w:rsid w:val="002912F8"/>
    <w:rPr>
      <w:rFonts w:ascii="Calibri" w:hAnsi="Calibri"/>
      <w:b/>
      <w:bCs/>
      <w:i/>
      <w:iCs/>
      <w:color w:val="005162"/>
    </w:rPr>
  </w:style>
  <w:style w:type="character" w:styleId="PlaceholderText">
    <w:name w:val="Placeholder Text"/>
    <w:uiPriority w:val="99"/>
    <w:semiHidden/>
    <w:rsid w:val="0078582A"/>
    <w:rPr>
      <w:color w:val="808080"/>
    </w:rPr>
  </w:style>
  <w:style w:type="paragraph" w:styleId="ListParagraph">
    <w:name w:val="List Paragraph"/>
    <w:basedOn w:val="bodycopy"/>
    <w:uiPriority w:val="34"/>
    <w:qFormat/>
    <w:rsid w:val="008E6BB2"/>
    <w:pPr>
      <w:numPr>
        <w:numId w:val="1"/>
      </w:numPr>
      <w:spacing w:after="0" w:line="320" w:lineRule="atLeast"/>
      <w:contextualSpacing/>
    </w:pPr>
    <w:rPr>
      <w:rFonts w:ascii="Calibri" w:hAnsi="Calibri" w:cs="Arial"/>
      <w:bCs/>
      <w:spacing w:val="0"/>
      <w:sz w:val="22"/>
      <w:szCs w:val="22"/>
      <w:lang w:val="en-US"/>
    </w:rPr>
  </w:style>
  <w:style w:type="paragraph" w:customStyle="1" w:styleId="Headertext">
    <w:name w:val="Header text"/>
    <w:basedOn w:val="BodyText"/>
    <w:qFormat/>
    <w:rsid w:val="008E6BB2"/>
    <w:pPr>
      <w:ind w:right="-284"/>
      <w:jc w:val="left"/>
    </w:pPr>
    <w:rPr>
      <w:color w:val="001E62"/>
      <w:sz w:val="20"/>
      <w:szCs w:val="20"/>
    </w:rPr>
  </w:style>
  <w:style w:type="paragraph" w:customStyle="1" w:styleId="Frontpagetitletext">
    <w:name w:val="Front page title text"/>
    <w:qFormat/>
    <w:rsid w:val="000C133E"/>
    <w:pPr>
      <w:spacing w:line="740" w:lineRule="exact"/>
      <w:ind w:right="-1"/>
    </w:pPr>
    <w:rPr>
      <w:rFonts w:eastAsia="Times New Roman"/>
      <w:b/>
      <w:bCs/>
      <w:color w:val="FF671F"/>
      <w:sz w:val="56"/>
      <w:szCs w:val="56"/>
      <w:lang w:eastAsia="en-US"/>
    </w:rPr>
  </w:style>
  <w:style w:type="paragraph" w:customStyle="1" w:styleId="Frontpagesubtitletext">
    <w:name w:val="Front page subtitle text"/>
    <w:qFormat/>
    <w:rsid w:val="00456FF1"/>
    <w:pPr>
      <w:spacing w:after="200"/>
      <w:ind w:left="425"/>
    </w:pPr>
    <w:rPr>
      <w:rFonts w:eastAsia="Times New Roman"/>
      <w:bCs/>
      <w:color w:val="001E62"/>
      <w:sz w:val="48"/>
      <w:szCs w:val="26"/>
      <w:lang w:eastAsia="en-US"/>
    </w:rPr>
  </w:style>
  <w:style w:type="paragraph" w:styleId="Title">
    <w:name w:val="Title"/>
    <w:basedOn w:val="Normal"/>
    <w:next w:val="Normal"/>
    <w:link w:val="TitleChar"/>
    <w:uiPriority w:val="10"/>
    <w:qFormat/>
    <w:rsid w:val="00EE428C"/>
    <w:pPr>
      <w:pBdr>
        <w:bottom w:val="single" w:sz="8" w:space="4" w:color="FFA300"/>
      </w:pBdr>
      <w:spacing w:after="300"/>
    </w:pPr>
    <w:rPr>
      <w:rFonts w:eastAsia="Times New Roman"/>
      <w:color w:val="001E62"/>
      <w:spacing w:val="5"/>
      <w:kern w:val="28"/>
      <w:sz w:val="52"/>
      <w:szCs w:val="52"/>
    </w:rPr>
  </w:style>
  <w:style w:type="character" w:customStyle="1" w:styleId="TitleChar">
    <w:name w:val="Title Char"/>
    <w:link w:val="Title"/>
    <w:uiPriority w:val="10"/>
    <w:rsid w:val="00EE428C"/>
    <w:rPr>
      <w:rFonts w:ascii="Calibri" w:eastAsia="Times New Roman" w:hAnsi="Calibri" w:cs="Times New Roman"/>
      <w:color w:val="001E62"/>
      <w:spacing w:val="5"/>
      <w:kern w:val="28"/>
      <w:sz w:val="52"/>
      <w:szCs w:val="52"/>
    </w:rPr>
  </w:style>
  <w:style w:type="paragraph" w:customStyle="1" w:styleId="Dateandissuestyle">
    <w:name w:val="Date and issue style"/>
    <w:basedOn w:val="Normal"/>
    <w:link w:val="DateandissuestyleChar"/>
    <w:uiPriority w:val="1"/>
    <w:rsid w:val="001E4B86"/>
    <w:rPr>
      <w:color w:val="001E62"/>
    </w:rPr>
  </w:style>
  <w:style w:type="character" w:customStyle="1" w:styleId="DateandissuestyleChar">
    <w:name w:val="Date and issue style Char"/>
    <w:link w:val="Dateandissuestyle"/>
    <w:uiPriority w:val="1"/>
    <w:rsid w:val="0054268A"/>
    <w:rPr>
      <w:rFonts w:ascii="Calibri" w:hAnsi="Calibri"/>
      <w:color w:val="001E62"/>
    </w:rPr>
  </w:style>
  <w:style w:type="paragraph" w:styleId="Quote">
    <w:name w:val="Quote"/>
    <w:basedOn w:val="Normal"/>
    <w:next w:val="Normal"/>
    <w:link w:val="QuoteChar"/>
    <w:uiPriority w:val="29"/>
    <w:qFormat/>
    <w:rsid w:val="001E48C9"/>
    <w:pPr>
      <w:spacing w:before="200"/>
    </w:pPr>
    <w:rPr>
      <w:b/>
      <w:i/>
      <w:iCs/>
      <w:color w:val="001E62"/>
      <w:sz w:val="28"/>
    </w:rPr>
  </w:style>
  <w:style w:type="character" w:customStyle="1" w:styleId="QuoteChar">
    <w:name w:val="Quote Char"/>
    <w:link w:val="Quote"/>
    <w:uiPriority w:val="29"/>
    <w:rsid w:val="001E48C9"/>
    <w:rPr>
      <w:rFonts w:ascii="Calibri" w:hAnsi="Calibri"/>
      <w:b/>
      <w:i/>
      <w:iCs/>
      <w:color w:val="001E62"/>
      <w:sz w:val="28"/>
    </w:rPr>
  </w:style>
  <w:style w:type="table" w:styleId="MediumShading1-Accent5">
    <w:name w:val="Medium Shading 1 Accent 5"/>
    <w:basedOn w:val="TableNormal"/>
    <w:uiPriority w:val="63"/>
    <w:rsid w:val="005F1223"/>
    <w:tblPr>
      <w:tblStyleRowBandSize w:val="1"/>
      <w:tblStyleColBandSize w:val="1"/>
      <w:tblBorders>
        <w:top w:val="single" w:sz="8" w:space="0" w:color="00D5FF"/>
        <w:left w:val="single" w:sz="8" w:space="0" w:color="00D5FF"/>
        <w:bottom w:val="single" w:sz="8" w:space="0" w:color="00D5FF"/>
        <w:right w:val="single" w:sz="8" w:space="0" w:color="00D5FF"/>
        <w:insideH w:val="single" w:sz="8" w:space="0" w:color="00D5FF"/>
      </w:tblBorders>
    </w:tblPr>
    <w:tblStylePr w:type="firstRow">
      <w:pPr>
        <w:spacing w:before="0" w:after="0" w:line="240" w:lineRule="auto"/>
      </w:pPr>
      <w:rPr>
        <w:b/>
        <w:bCs/>
        <w:color w:val="FFFFFF"/>
      </w:rPr>
      <w:tblPr/>
      <w:tcPr>
        <w:tcBorders>
          <w:top w:val="single" w:sz="8" w:space="0" w:color="00D5FF"/>
          <w:left w:val="single" w:sz="8" w:space="0" w:color="00D5FF"/>
          <w:bottom w:val="single" w:sz="8" w:space="0" w:color="00D5FF"/>
          <w:right w:val="single" w:sz="8" w:space="0" w:color="00D5FF"/>
          <w:insideH w:val="nil"/>
          <w:insideV w:val="nil"/>
        </w:tcBorders>
        <w:shd w:val="clear" w:color="auto" w:fill="008EAA"/>
      </w:tcPr>
    </w:tblStylePr>
    <w:tblStylePr w:type="lastRow">
      <w:pPr>
        <w:spacing w:before="0" w:after="0" w:line="240" w:lineRule="auto"/>
      </w:pPr>
      <w:rPr>
        <w:b/>
        <w:bCs/>
      </w:rPr>
      <w:tblPr/>
      <w:tcPr>
        <w:tcBorders>
          <w:top w:val="double" w:sz="6" w:space="0" w:color="00D5FF"/>
          <w:left w:val="single" w:sz="8" w:space="0" w:color="00D5FF"/>
          <w:bottom w:val="single" w:sz="8" w:space="0" w:color="00D5FF"/>
          <w:right w:val="single" w:sz="8" w:space="0" w:color="00D5FF"/>
          <w:insideH w:val="nil"/>
          <w:insideV w:val="nil"/>
        </w:tcBorders>
      </w:tcPr>
    </w:tblStylePr>
    <w:tblStylePr w:type="firstCol">
      <w:rPr>
        <w:b/>
        <w:bCs/>
      </w:rPr>
    </w:tblStylePr>
    <w:tblStylePr w:type="lastCol">
      <w:rPr>
        <w:b/>
        <w:bCs/>
      </w:rPr>
    </w:tblStylePr>
    <w:tblStylePr w:type="band1Vert">
      <w:tblPr/>
      <w:tcPr>
        <w:shd w:val="clear" w:color="auto" w:fill="ABF1FF"/>
      </w:tcPr>
    </w:tblStylePr>
    <w:tblStylePr w:type="band1Horz">
      <w:tblPr/>
      <w:tcPr>
        <w:tcBorders>
          <w:insideH w:val="nil"/>
          <w:insideV w:val="nil"/>
        </w:tcBorders>
        <w:shd w:val="clear" w:color="auto" w:fill="ABF1FF"/>
      </w:tcPr>
    </w:tblStylePr>
    <w:tblStylePr w:type="band2Horz">
      <w:tblPr/>
      <w:tcPr>
        <w:tcBorders>
          <w:insideH w:val="nil"/>
          <w:insideV w:val="nil"/>
        </w:tcBorders>
      </w:tcPr>
    </w:tblStylePr>
  </w:style>
  <w:style w:type="table" w:styleId="LightGrid-Accent5">
    <w:name w:val="Light Grid Accent 5"/>
    <w:basedOn w:val="TableNormal"/>
    <w:uiPriority w:val="62"/>
    <w:rsid w:val="005F1223"/>
    <w:tblPr>
      <w:tblStyleRowBandSize w:val="1"/>
      <w:tblStyleColBandSize w:val="1"/>
      <w:tblBorders>
        <w:top w:val="single" w:sz="8" w:space="0" w:color="008EAA"/>
        <w:left w:val="single" w:sz="8" w:space="0" w:color="008EAA"/>
        <w:bottom w:val="single" w:sz="8" w:space="0" w:color="008EAA"/>
        <w:right w:val="single" w:sz="8" w:space="0" w:color="008EAA"/>
        <w:insideH w:val="single" w:sz="8" w:space="0" w:color="008EAA"/>
        <w:insideV w:val="single" w:sz="8" w:space="0" w:color="008EAA"/>
      </w:tblBorders>
    </w:tblPr>
    <w:tblStylePr w:type="firstRow">
      <w:pPr>
        <w:spacing w:before="0" w:after="0" w:line="240" w:lineRule="auto"/>
      </w:pPr>
      <w:rPr>
        <w:rFonts w:ascii="Calibri" w:eastAsia="Times New Roman" w:hAnsi="Calibri" w:cs="Times New Roman"/>
        <w:b/>
        <w:bCs/>
      </w:rPr>
      <w:tblPr/>
      <w:tcPr>
        <w:tcBorders>
          <w:top w:val="single" w:sz="8" w:space="0" w:color="008EAA"/>
          <w:left w:val="single" w:sz="8" w:space="0" w:color="008EAA"/>
          <w:bottom w:val="single" w:sz="18" w:space="0" w:color="008EAA"/>
          <w:right w:val="single" w:sz="8" w:space="0" w:color="008EAA"/>
          <w:insideH w:val="nil"/>
          <w:insideV w:val="single" w:sz="8" w:space="0" w:color="008EAA"/>
        </w:tcBorders>
      </w:tcPr>
    </w:tblStylePr>
    <w:tblStylePr w:type="lastRow">
      <w:pPr>
        <w:spacing w:before="0" w:after="0" w:line="240" w:lineRule="auto"/>
      </w:pPr>
      <w:rPr>
        <w:rFonts w:ascii="Calibri" w:eastAsia="Times New Roman" w:hAnsi="Calibri" w:cs="Times New Roman"/>
        <w:b/>
        <w:bCs/>
      </w:rPr>
      <w:tblPr/>
      <w:tcPr>
        <w:tcBorders>
          <w:top w:val="double" w:sz="6" w:space="0" w:color="008EAA"/>
          <w:left w:val="single" w:sz="8" w:space="0" w:color="008EAA"/>
          <w:bottom w:val="single" w:sz="8" w:space="0" w:color="008EAA"/>
          <w:right w:val="single" w:sz="8" w:space="0" w:color="008EAA"/>
          <w:insideH w:val="nil"/>
          <w:insideV w:val="single" w:sz="8" w:space="0" w:color="008EAA"/>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8EAA"/>
          <w:left w:val="single" w:sz="8" w:space="0" w:color="008EAA"/>
          <w:bottom w:val="single" w:sz="8" w:space="0" w:color="008EAA"/>
          <w:right w:val="single" w:sz="8" w:space="0" w:color="008EAA"/>
        </w:tcBorders>
      </w:tcPr>
    </w:tblStylePr>
    <w:tblStylePr w:type="band1Vert">
      <w:tblPr/>
      <w:tcPr>
        <w:tcBorders>
          <w:top w:val="single" w:sz="8" w:space="0" w:color="008EAA"/>
          <w:left w:val="single" w:sz="8" w:space="0" w:color="008EAA"/>
          <w:bottom w:val="single" w:sz="8" w:space="0" w:color="008EAA"/>
          <w:right w:val="single" w:sz="8" w:space="0" w:color="008EAA"/>
        </w:tcBorders>
        <w:shd w:val="clear" w:color="auto" w:fill="ABF1FF"/>
      </w:tcPr>
    </w:tblStylePr>
    <w:tblStylePr w:type="band1Horz">
      <w:tblPr/>
      <w:tcPr>
        <w:tcBorders>
          <w:top w:val="single" w:sz="8" w:space="0" w:color="008EAA"/>
          <w:left w:val="single" w:sz="8" w:space="0" w:color="008EAA"/>
          <w:bottom w:val="single" w:sz="8" w:space="0" w:color="008EAA"/>
          <w:right w:val="single" w:sz="8" w:space="0" w:color="008EAA"/>
          <w:insideV w:val="single" w:sz="8" w:space="0" w:color="008EAA"/>
        </w:tcBorders>
        <w:shd w:val="clear" w:color="auto" w:fill="ABF1FF"/>
      </w:tcPr>
    </w:tblStylePr>
    <w:tblStylePr w:type="band2Horz">
      <w:tblPr/>
      <w:tcPr>
        <w:tcBorders>
          <w:top w:val="single" w:sz="8" w:space="0" w:color="008EAA"/>
          <w:left w:val="single" w:sz="8" w:space="0" w:color="008EAA"/>
          <w:bottom w:val="single" w:sz="8" w:space="0" w:color="008EAA"/>
          <w:right w:val="single" w:sz="8" w:space="0" w:color="008EAA"/>
          <w:insideV w:val="single" w:sz="8" w:space="0" w:color="008EAA"/>
        </w:tcBorders>
      </w:tcPr>
    </w:tblStylePr>
  </w:style>
  <w:style w:type="table" w:styleId="LightList-Accent3">
    <w:name w:val="Light List Accent 3"/>
    <w:basedOn w:val="TableNormal"/>
    <w:uiPriority w:val="61"/>
    <w:rsid w:val="008101DE"/>
    <w:tblPr>
      <w:tblStyleRowBandSize w:val="1"/>
      <w:tblStyleColBandSize w:val="1"/>
      <w:tblBorders>
        <w:top w:val="single" w:sz="8" w:space="0" w:color="97D700"/>
        <w:left w:val="single" w:sz="8" w:space="0" w:color="97D700"/>
        <w:bottom w:val="single" w:sz="8" w:space="0" w:color="97D700"/>
        <w:right w:val="single" w:sz="8" w:space="0" w:color="97D700"/>
      </w:tblBorders>
    </w:tblPr>
    <w:tblStylePr w:type="firstRow">
      <w:pPr>
        <w:spacing w:before="0" w:after="0" w:line="240" w:lineRule="auto"/>
      </w:pPr>
      <w:rPr>
        <w:b/>
        <w:bCs/>
        <w:color w:val="FFFFFF"/>
      </w:rPr>
      <w:tblPr/>
      <w:tcPr>
        <w:shd w:val="clear" w:color="auto" w:fill="97D700"/>
      </w:tcPr>
    </w:tblStylePr>
    <w:tblStylePr w:type="lastRow">
      <w:pPr>
        <w:spacing w:before="0" w:after="0" w:line="240" w:lineRule="auto"/>
      </w:pPr>
      <w:rPr>
        <w:b/>
        <w:bCs/>
      </w:rPr>
      <w:tblPr/>
      <w:tcPr>
        <w:tcBorders>
          <w:top w:val="double" w:sz="6" w:space="0" w:color="97D700"/>
          <w:left w:val="single" w:sz="8" w:space="0" w:color="97D700"/>
          <w:bottom w:val="single" w:sz="8" w:space="0" w:color="97D700"/>
          <w:right w:val="single" w:sz="8" w:space="0" w:color="97D700"/>
        </w:tcBorders>
      </w:tcPr>
    </w:tblStylePr>
    <w:tblStylePr w:type="firstCol">
      <w:rPr>
        <w:b/>
        <w:bCs/>
      </w:rPr>
    </w:tblStylePr>
    <w:tblStylePr w:type="lastCol">
      <w:rPr>
        <w:b/>
        <w:bCs/>
      </w:rPr>
    </w:tblStylePr>
    <w:tblStylePr w:type="band1Vert">
      <w:tblPr/>
      <w:tcPr>
        <w:tcBorders>
          <w:top w:val="single" w:sz="8" w:space="0" w:color="97D700"/>
          <w:left w:val="single" w:sz="8" w:space="0" w:color="97D700"/>
          <w:bottom w:val="single" w:sz="8" w:space="0" w:color="97D700"/>
          <w:right w:val="single" w:sz="8" w:space="0" w:color="97D700"/>
        </w:tcBorders>
      </w:tcPr>
    </w:tblStylePr>
    <w:tblStylePr w:type="band1Horz">
      <w:tblPr/>
      <w:tcPr>
        <w:tcBorders>
          <w:top w:val="single" w:sz="8" w:space="0" w:color="97D700"/>
          <w:left w:val="single" w:sz="8" w:space="0" w:color="97D700"/>
          <w:bottom w:val="single" w:sz="8" w:space="0" w:color="97D700"/>
          <w:right w:val="single" w:sz="8" w:space="0" w:color="97D700"/>
        </w:tcBorders>
      </w:tcPr>
    </w:tblStylePr>
  </w:style>
  <w:style w:type="character" w:styleId="Hyperlink">
    <w:name w:val="Hyperlink"/>
    <w:uiPriority w:val="99"/>
    <w:unhideWhenUsed/>
    <w:rsid w:val="00B1389E"/>
    <w:rPr>
      <w:color w:val="D0006F"/>
      <w:u w:val="single"/>
    </w:rPr>
  </w:style>
  <w:style w:type="table" w:styleId="MediumList1-Accent6">
    <w:name w:val="Medium List 1 Accent 6"/>
    <w:basedOn w:val="TableNormal"/>
    <w:uiPriority w:val="65"/>
    <w:rsid w:val="0012098F"/>
    <w:rPr>
      <w:color w:val="000000"/>
    </w:rPr>
    <w:tblPr>
      <w:tblStyleRowBandSize w:val="1"/>
      <w:tblStyleColBandSize w:val="1"/>
      <w:tblBorders>
        <w:top w:val="single" w:sz="8" w:space="0" w:color="3A5DAE"/>
        <w:bottom w:val="single" w:sz="8" w:space="0" w:color="3A5DAE"/>
      </w:tblBorders>
    </w:tblPr>
    <w:tblStylePr w:type="firstRow">
      <w:rPr>
        <w:rFonts w:ascii="Calibri" w:eastAsia="Times New Roman" w:hAnsi="Calibri" w:cs="Times New Roman"/>
      </w:rPr>
      <w:tblPr/>
      <w:tcPr>
        <w:tcBorders>
          <w:top w:val="nil"/>
          <w:bottom w:val="single" w:sz="8" w:space="0" w:color="3A5DAE"/>
        </w:tcBorders>
      </w:tcPr>
    </w:tblStylePr>
    <w:tblStylePr w:type="lastRow">
      <w:rPr>
        <w:b/>
        <w:bCs/>
        <w:color w:val="1F497D"/>
      </w:rPr>
      <w:tblPr/>
      <w:tcPr>
        <w:tcBorders>
          <w:top w:val="single" w:sz="8" w:space="0" w:color="3A5DAE"/>
          <w:bottom w:val="single" w:sz="8" w:space="0" w:color="3A5DAE"/>
        </w:tcBorders>
      </w:tcPr>
    </w:tblStylePr>
    <w:tblStylePr w:type="firstCol">
      <w:rPr>
        <w:b/>
        <w:bCs/>
      </w:rPr>
    </w:tblStylePr>
    <w:tblStylePr w:type="lastCol">
      <w:rPr>
        <w:b/>
        <w:bCs/>
      </w:rPr>
      <w:tblPr/>
      <w:tcPr>
        <w:tcBorders>
          <w:top w:val="single" w:sz="8" w:space="0" w:color="3A5DAE"/>
          <w:bottom w:val="single" w:sz="8" w:space="0" w:color="3A5DAE"/>
        </w:tcBorders>
      </w:tcPr>
    </w:tblStylePr>
    <w:tblStylePr w:type="band1Vert">
      <w:tblPr/>
      <w:tcPr>
        <w:shd w:val="clear" w:color="auto" w:fill="CBD5ED"/>
      </w:tcPr>
    </w:tblStylePr>
    <w:tblStylePr w:type="band1Horz">
      <w:tblPr/>
      <w:tcPr>
        <w:shd w:val="clear" w:color="auto" w:fill="CBD5ED"/>
      </w:tcPr>
    </w:tblStylePr>
  </w:style>
  <w:style w:type="paragraph" w:styleId="Caption">
    <w:name w:val="caption"/>
    <w:basedOn w:val="Normal"/>
    <w:next w:val="Normal"/>
    <w:uiPriority w:val="35"/>
    <w:unhideWhenUsed/>
    <w:qFormat/>
    <w:rsid w:val="00EE330E"/>
    <w:rPr>
      <w:b/>
      <w:bCs/>
      <w:color w:val="000062"/>
      <w:szCs w:val="18"/>
    </w:rPr>
  </w:style>
  <w:style w:type="paragraph" w:styleId="TOCHeading">
    <w:name w:val="TOC Heading"/>
    <w:basedOn w:val="Heading1"/>
    <w:next w:val="Normal"/>
    <w:uiPriority w:val="39"/>
    <w:unhideWhenUsed/>
    <w:qFormat/>
    <w:rsid w:val="008E3DC5"/>
    <w:pPr>
      <w:spacing w:line="276" w:lineRule="auto"/>
      <w:contextualSpacing w:val="0"/>
      <w:outlineLvl w:val="9"/>
    </w:pPr>
    <w:rPr>
      <w:sz w:val="36"/>
      <w:lang w:val="en-US"/>
    </w:rPr>
  </w:style>
  <w:style w:type="paragraph" w:styleId="TOC2">
    <w:name w:val="toc 2"/>
    <w:basedOn w:val="Normal"/>
    <w:next w:val="Normal"/>
    <w:autoRedefine/>
    <w:uiPriority w:val="39"/>
    <w:unhideWhenUsed/>
    <w:qFormat/>
    <w:rsid w:val="006A2200"/>
    <w:pPr>
      <w:tabs>
        <w:tab w:val="left" w:pos="6237"/>
      </w:tabs>
      <w:spacing w:after="100" w:line="276" w:lineRule="auto"/>
      <w:ind w:left="227"/>
      <w:contextualSpacing w:val="0"/>
      <w:jc w:val="left"/>
    </w:pPr>
    <w:rPr>
      <w:rFonts w:eastAsia="Times New Roman"/>
      <w:color w:val="000062"/>
      <w:lang w:val="en-US"/>
    </w:rPr>
  </w:style>
  <w:style w:type="paragraph" w:styleId="TOC1">
    <w:name w:val="toc 1"/>
    <w:basedOn w:val="Normal"/>
    <w:next w:val="Normal"/>
    <w:autoRedefine/>
    <w:uiPriority w:val="39"/>
    <w:unhideWhenUsed/>
    <w:qFormat/>
    <w:rsid w:val="006A2200"/>
    <w:pPr>
      <w:tabs>
        <w:tab w:val="left" w:pos="6237"/>
      </w:tabs>
      <w:spacing w:after="100" w:line="276" w:lineRule="auto"/>
      <w:contextualSpacing w:val="0"/>
      <w:jc w:val="left"/>
    </w:pPr>
    <w:rPr>
      <w:rFonts w:eastAsia="Times New Roman"/>
      <w:b/>
      <w:noProof/>
      <w:color w:val="000062"/>
      <w:lang w:val="en-US"/>
    </w:rPr>
  </w:style>
  <w:style w:type="paragraph" w:styleId="TOC3">
    <w:name w:val="toc 3"/>
    <w:basedOn w:val="Normal"/>
    <w:next w:val="Normal"/>
    <w:autoRedefine/>
    <w:uiPriority w:val="39"/>
    <w:unhideWhenUsed/>
    <w:qFormat/>
    <w:rsid w:val="006A2200"/>
    <w:pPr>
      <w:tabs>
        <w:tab w:val="left" w:pos="6237"/>
      </w:tabs>
      <w:spacing w:after="100" w:line="276" w:lineRule="auto"/>
      <w:ind w:left="510"/>
      <w:contextualSpacing w:val="0"/>
      <w:jc w:val="left"/>
    </w:pPr>
    <w:rPr>
      <w:rFonts w:eastAsia="Times New Roman"/>
      <w:noProof/>
      <w:color w:val="000062"/>
      <w:lang w:val="en-US"/>
    </w:rPr>
  </w:style>
  <w:style w:type="paragraph" w:customStyle="1" w:styleId="bodycopy">
    <w:name w:val="body copy"/>
    <w:basedOn w:val="Normal"/>
    <w:uiPriority w:val="99"/>
    <w:rsid w:val="00B8115F"/>
    <w:pPr>
      <w:widowControl w:val="0"/>
      <w:tabs>
        <w:tab w:val="left" w:pos="113"/>
        <w:tab w:val="left" w:pos="850"/>
        <w:tab w:val="left" w:pos="1519"/>
        <w:tab w:val="left" w:pos="2154"/>
      </w:tabs>
      <w:suppressAutoHyphens/>
      <w:autoSpaceDE w:val="0"/>
      <w:autoSpaceDN w:val="0"/>
      <w:adjustRightInd w:val="0"/>
      <w:spacing w:before="0" w:after="113" w:line="260" w:lineRule="atLeast"/>
      <w:contextualSpacing w:val="0"/>
      <w:jc w:val="left"/>
      <w:textAlignment w:val="center"/>
    </w:pPr>
    <w:rPr>
      <w:rFonts w:ascii="MyriadPro-Regular" w:eastAsia="MS Mincho" w:hAnsi="MyriadPro-Regular" w:cs="MyriadPro-Regular"/>
      <w:color w:val="000000"/>
      <w:spacing w:val="-2"/>
      <w:sz w:val="19"/>
      <w:szCs w:val="19"/>
    </w:rPr>
  </w:style>
  <w:style w:type="character" w:styleId="Emphasis">
    <w:name w:val="Emphasis"/>
    <w:uiPriority w:val="20"/>
    <w:qFormat/>
    <w:rsid w:val="004905DB"/>
    <w:rPr>
      <w:i/>
      <w:iCs/>
    </w:rPr>
  </w:style>
  <w:style w:type="table" w:styleId="MediumGrid3-Accent6">
    <w:name w:val="Medium Grid 3 Accent 6"/>
    <w:basedOn w:val="TableNormal"/>
    <w:uiPriority w:val="69"/>
    <w:rsid w:val="00F6076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BD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A5DA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A5DA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A5DA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A5DA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7A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7ABDC"/>
      </w:tcPr>
    </w:tblStylePr>
  </w:style>
  <w:style w:type="paragraph" w:styleId="BodyText">
    <w:name w:val="Body Text"/>
    <w:basedOn w:val="Normal"/>
    <w:link w:val="BodyTextChar"/>
    <w:uiPriority w:val="99"/>
    <w:semiHidden/>
    <w:unhideWhenUsed/>
    <w:rsid w:val="00DA2931"/>
    <w:pPr>
      <w:spacing w:after="120"/>
    </w:pPr>
  </w:style>
  <w:style w:type="character" w:customStyle="1" w:styleId="BodyTextChar">
    <w:name w:val="Body Text Char"/>
    <w:link w:val="BodyText"/>
    <w:uiPriority w:val="99"/>
    <w:semiHidden/>
    <w:rsid w:val="00DA2931"/>
    <w:rPr>
      <w:rFonts w:ascii="Calibri" w:hAnsi="Calibri"/>
    </w:rPr>
  </w:style>
  <w:style w:type="table" w:styleId="LightList-Accent5">
    <w:name w:val="Light List Accent 5"/>
    <w:basedOn w:val="TableNormal"/>
    <w:uiPriority w:val="61"/>
    <w:rsid w:val="00F6076D"/>
    <w:tblPr>
      <w:tblStyleRowBandSize w:val="1"/>
      <w:tblStyleColBandSize w:val="1"/>
      <w:tblBorders>
        <w:top w:val="single" w:sz="8" w:space="0" w:color="008EAA"/>
        <w:left w:val="single" w:sz="8" w:space="0" w:color="008EAA"/>
        <w:bottom w:val="single" w:sz="8" w:space="0" w:color="008EAA"/>
        <w:right w:val="single" w:sz="8" w:space="0" w:color="008EAA"/>
      </w:tblBorders>
    </w:tblPr>
    <w:tblStylePr w:type="firstRow">
      <w:pPr>
        <w:spacing w:before="0" w:after="0" w:line="240" w:lineRule="auto"/>
      </w:pPr>
      <w:rPr>
        <w:b/>
        <w:bCs/>
        <w:color w:val="FFFFFF"/>
      </w:rPr>
      <w:tblPr/>
      <w:tcPr>
        <w:shd w:val="clear" w:color="auto" w:fill="008EAA"/>
      </w:tcPr>
    </w:tblStylePr>
    <w:tblStylePr w:type="lastRow">
      <w:pPr>
        <w:spacing w:before="0" w:after="0" w:line="240" w:lineRule="auto"/>
      </w:pPr>
      <w:rPr>
        <w:b/>
        <w:bCs/>
      </w:rPr>
      <w:tblPr/>
      <w:tcPr>
        <w:tcBorders>
          <w:top w:val="double" w:sz="6" w:space="0" w:color="008EAA"/>
          <w:left w:val="single" w:sz="8" w:space="0" w:color="008EAA"/>
          <w:bottom w:val="single" w:sz="8" w:space="0" w:color="008EAA"/>
          <w:right w:val="single" w:sz="8" w:space="0" w:color="008EAA"/>
        </w:tcBorders>
      </w:tcPr>
    </w:tblStylePr>
    <w:tblStylePr w:type="firstCol">
      <w:rPr>
        <w:b/>
        <w:bCs/>
      </w:rPr>
    </w:tblStylePr>
    <w:tblStylePr w:type="lastCol">
      <w:rPr>
        <w:b/>
        <w:bCs/>
      </w:rPr>
    </w:tblStylePr>
    <w:tblStylePr w:type="band1Vert">
      <w:tblPr/>
      <w:tcPr>
        <w:tcBorders>
          <w:top w:val="single" w:sz="8" w:space="0" w:color="008EAA"/>
          <w:left w:val="single" w:sz="8" w:space="0" w:color="008EAA"/>
          <w:bottom w:val="single" w:sz="8" w:space="0" w:color="008EAA"/>
          <w:right w:val="single" w:sz="8" w:space="0" w:color="008EAA"/>
        </w:tcBorders>
      </w:tcPr>
    </w:tblStylePr>
    <w:tblStylePr w:type="band1Horz">
      <w:tblPr/>
      <w:tcPr>
        <w:tcBorders>
          <w:top w:val="single" w:sz="8" w:space="0" w:color="008EAA"/>
          <w:left w:val="single" w:sz="8" w:space="0" w:color="008EAA"/>
          <w:bottom w:val="single" w:sz="8" w:space="0" w:color="008EAA"/>
          <w:right w:val="single" w:sz="8" w:space="0" w:color="008EAA"/>
        </w:tcBorders>
      </w:tcPr>
    </w:tblStylePr>
  </w:style>
  <w:style w:type="table" w:styleId="MediumGrid3-Accent2">
    <w:name w:val="Medium Grid 3 Accent 2"/>
    <w:basedOn w:val="TableNormal"/>
    <w:uiPriority w:val="69"/>
    <w:rsid w:val="00F6076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71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71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71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71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F"/>
      </w:tcPr>
    </w:tblStylePr>
  </w:style>
  <w:style w:type="paragraph" w:styleId="BodyText3">
    <w:name w:val="Body Text 3"/>
    <w:basedOn w:val="Normal"/>
    <w:link w:val="BodyText3Char"/>
    <w:uiPriority w:val="99"/>
    <w:semiHidden/>
    <w:unhideWhenUsed/>
    <w:rsid w:val="00E85D95"/>
    <w:pPr>
      <w:spacing w:after="120"/>
    </w:pPr>
    <w:rPr>
      <w:sz w:val="16"/>
      <w:szCs w:val="16"/>
    </w:rPr>
  </w:style>
  <w:style w:type="character" w:customStyle="1" w:styleId="BodyText3Char">
    <w:name w:val="Body Text 3 Char"/>
    <w:link w:val="BodyText3"/>
    <w:uiPriority w:val="99"/>
    <w:semiHidden/>
    <w:rsid w:val="00E85D95"/>
    <w:rPr>
      <w:sz w:val="16"/>
      <w:szCs w:val="16"/>
      <w:lang w:eastAsia="en-US"/>
    </w:rPr>
  </w:style>
  <w:style w:type="paragraph" w:styleId="BodyTextIndent2">
    <w:name w:val="Body Text Indent 2"/>
    <w:basedOn w:val="Normal"/>
    <w:link w:val="BodyTextIndent2Char"/>
    <w:uiPriority w:val="99"/>
    <w:semiHidden/>
    <w:unhideWhenUsed/>
    <w:rsid w:val="00E85D95"/>
    <w:pPr>
      <w:spacing w:after="120" w:line="480" w:lineRule="auto"/>
      <w:ind w:left="283"/>
    </w:pPr>
  </w:style>
  <w:style w:type="character" w:customStyle="1" w:styleId="BodyTextIndent2Char">
    <w:name w:val="Body Text Indent 2 Char"/>
    <w:link w:val="BodyTextIndent2"/>
    <w:uiPriority w:val="99"/>
    <w:semiHidden/>
    <w:rsid w:val="00E85D95"/>
    <w:rPr>
      <w:sz w:val="22"/>
      <w:szCs w:val="22"/>
      <w:lang w:eastAsia="en-US"/>
    </w:rPr>
  </w:style>
  <w:style w:type="paragraph" w:styleId="BodyTextIndent3">
    <w:name w:val="Body Text Indent 3"/>
    <w:basedOn w:val="Normal"/>
    <w:link w:val="BodyTextIndent3Char"/>
    <w:uiPriority w:val="99"/>
    <w:semiHidden/>
    <w:unhideWhenUsed/>
    <w:rsid w:val="00E85D95"/>
    <w:pPr>
      <w:spacing w:after="120"/>
      <w:ind w:left="283"/>
    </w:pPr>
    <w:rPr>
      <w:sz w:val="16"/>
      <w:szCs w:val="16"/>
    </w:rPr>
  </w:style>
  <w:style w:type="character" w:customStyle="1" w:styleId="BodyTextIndent3Char">
    <w:name w:val="Body Text Indent 3 Char"/>
    <w:link w:val="BodyTextIndent3"/>
    <w:uiPriority w:val="99"/>
    <w:semiHidden/>
    <w:rsid w:val="00E85D95"/>
    <w:rPr>
      <w:sz w:val="16"/>
      <w:szCs w:val="16"/>
      <w:lang w:eastAsia="en-US"/>
    </w:rPr>
  </w:style>
  <w:style w:type="paragraph" w:customStyle="1" w:styleId="Default">
    <w:name w:val="Default"/>
    <w:rsid w:val="002A219C"/>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unhideWhenUsed/>
    <w:rsid w:val="00F35645"/>
    <w:rPr>
      <w:sz w:val="20"/>
      <w:szCs w:val="20"/>
    </w:rPr>
  </w:style>
  <w:style w:type="character" w:customStyle="1" w:styleId="EndnoteTextChar">
    <w:name w:val="Endnote Text Char"/>
    <w:link w:val="EndnoteText"/>
    <w:uiPriority w:val="99"/>
    <w:rsid w:val="00F35645"/>
    <w:rPr>
      <w:lang w:eastAsia="en-US"/>
    </w:rPr>
  </w:style>
  <w:style w:type="character" w:styleId="EndnoteReference">
    <w:name w:val="endnote reference"/>
    <w:uiPriority w:val="99"/>
    <w:unhideWhenUsed/>
    <w:rsid w:val="00F35645"/>
    <w:rPr>
      <w:vertAlign w:val="superscript"/>
    </w:rPr>
  </w:style>
  <w:style w:type="paragraph" w:styleId="FootnoteText">
    <w:name w:val="footnote text"/>
    <w:basedOn w:val="Normal"/>
    <w:link w:val="FootnoteTextChar"/>
    <w:uiPriority w:val="99"/>
    <w:semiHidden/>
    <w:unhideWhenUsed/>
    <w:rsid w:val="003A410F"/>
    <w:rPr>
      <w:sz w:val="20"/>
      <w:szCs w:val="20"/>
    </w:rPr>
  </w:style>
  <w:style w:type="character" w:customStyle="1" w:styleId="FootnoteTextChar">
    <w:name w:val="Footnote Text Char"/>
    <w:link w:val="FootnoteText"/>
    <w:uiPriority w:val="99"/>
    <w:semiHidden/>
    <w:rsid w:val="003A410F"/>
    <w:rPr>
      <w:lang w:eastAsia="en-US"/>
    </w:rPr>
  </w:style>
  <w:style w:type="character" w:styleId="FootnoteReference">
    <w:name w:val="footnote reference"/>
    <w:uiPriority w:val="99"/>
    <w:semiHidden/>
    <w:unhideWhenUsed/>
    <w:rsid w:val="003A410F"/>
    <w:rPr>
      <w:vertAlign w:val="superscript"/>
    </w:rPr>
  </w:style>
  <w:style w:type="character" w:styleId="FollowedHyperlink">
    <w:name w:val="FollowedHyperlink"/>
    <w:uiPriority w:val="99"/>
    <w:semiHidden/>
    <w:unhideWhenUsed/>
    <w:rsid w:val="00CC42F8"/>
    <w:rPr>
      <w:color w:val="800080"/>
      <w:u w:val="single"/>
    </w:rPr>
  </w:style>
  <w:style w:type="character" w:styleId="CommentReference">
    <w:name w:val="annotation reference"/>
    <w:uiPriority w:val="99"/>
    <w:semiHidden/>
    <w:unhideWhenUsed/>
    <w:rsid w:val="007C6ADC"/>
    <w:rPr>
      <w:sz w:val="16"/>
      <w:szCs w:val="16"/>
    </w:rPr>
  </w:style>
  <w:style w:type="paragraph" w:styleId="CommentText">
    <w:name w:val="annotation text"/>
    <w:basedOn w:val="Normal"/>
    <w:link w:val="CommentTextChar"/>
    <w:uiPriority w:val="99"/>
    <w:semiHidden/>
    <w:unhideWhenUsed/>
    <w:rsid w:val="007C6ADC"/>
    <w:rPr>
      <w:sz w:val="20"/>
      <w:szCs w:val="20"/>
    </w:rPr>
  </w:style>
  <w:style w:type="character" w:customStyle="1" w:styleId="CommentTextChar">
    <w:name w:val="Comment Text Char"/>
    <w:link w:val="CommentText"/>
    <w:uiPriority w:val="99"/>
    <w:semiHidden/>
    <w:rsid w:val="007C6ADC"/>
    <w:rPr>
      <w:lang w:eastAsia="en-US"/>
    </w:rPr>
  </w:style>
  <w:style w:type="paragraph" w:styleId="CommentSubject">
    <w:name w:val="annotation subject"/>
    <w:basedOn w:val="CommentText"/>
    <w:next w:val="CommentText"/>
    <w:link w:val="CommentSubjectChar"/>
    <w:uiPriority w:val="99"/>
    <w:semiHidden/>
    <w:unhideWhenUsed/>
    <w:rsid w:val="007C6ADC"/>
    <w:rPr>
      <w:b/>
      <w:bCs/>
    </w:rPr>
  </w:style>
  <w:style w:type="character" w:customStyle="1" w:styleId="CommentSubjectChar">
    <w:name w:val="Comment Subject Char"/>
    <w:link w:val="CommentSubject"/>
    <w:uiPriority w:val="99"/>
    <w:semiHidden/>
    <w:rsid w:val="007C6ADC"/>
    <w:rPr>
      <w:b/>
      <w:bCs/>
      <w:lang w:eastAsia="en-US"/>
    </w:rPr>
  </w:style>
  <w:style w:type="character" w:customStyle="1" w:styleId="UnresolvedMention">
    <w:name w:val="Unresolved Mention"/>
    <w:basedOn w:val="DefaultParagraphFont"/>
    <w:uiPriority w:val="99"/>
    <w:semiHidden/>
    <w:unhideWhenUsed/>
    <w:rsid w:val="006A646F"/>
    <w:rPr>
      <w:color w:val="605E5C"/>
      <w:shd w:val="clear" w:color="auto" w:fill="E1DFDD"/>
    </w:rPr>
  </w:style>
  <w:style w:type="paragraph" w:styleId="NormalWeb">
    <w:name w:val="Normal (Web)"/>
    <w:basedOn w:val="Normal"/>
    <w:uiPriority w:val="99"/>
    <w:semiHidden/>
    <w:unhideWhenUsed/>
    <w:rsid w:val="000F729D"/>
    <w:pPr>
      <w:spacing w:before="100" w:beforeAutospacing="1" w:after="100" w:afterAutospacing="1"/>
      <w:contextualSpacing w:val="0"/>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145">
      <w:bodyDiv w:val="1"/>
      <w:marLeft w:val="0"/>
      <w:marRight w:val="0"/>
      <w:marTop w:val="0"/>
      <w:marBottom w:val="0"/>
      <w:divBdr>
        <w:top w:val="none" w:sz="0" w:space="0" w:color="auto"/>
        <w:left w:val="none" w:sz="0" w:space="0" w:color="auto"/>
        <w:bottom w:val="none" w:sz="0" w:space="0" w:color="auto"/>
        <w:right w:val="none" w:sz="0" w:space="0" w:color="auto"/>
      </w:divBdr>
    </w:div>
    <w:div w:id="601228287">
      <w:bodyDiv w:val="1"/>
      <w:marLeft w:val="0"/>
      <w:marRight w:val="0"/>
      <w:marTop w:val="0"/>
      <w:marBottom w:val="0"/>
      <w:divBdr>
        <w:top w:val="none" w:sz="0" w:space="0" w:color="auto"/>
        <w:left w:val="none" w:sz="0" w:space="0" w:color="auto"/>
        <w:bottom w:val="none" w:sz="0" w:space="0" w:color="auto"/>
        <w:right w:val="none" w:sz="0" w:space="0" w:color="auto"/>
      </w:divBdr>
      <w:divsChild>
        <w:div w:id="1874222791">
          <w:marLeft w:val="0"/>
          <w:marRight w:val="0"/>
          <w:marTop w:val="0"/>
          <w:marBottom w:val="0"/>
          <w:divBdr>
            <w:top w:val="none" w:sz="0" w:space="0" w:color="auto"/>
            <w:left w:val="none" w:sz="0" w:space="0" w:color="auto"/>
            <w:bottom w:val="none" w:sz="0" w:space="0" w:color="auto"/>
            <w:right w:val="none" w:sz="0" w:space="0" w:color="auto"/>
          </w:divBdr>
          <w:divsChild>
            <w:div w:id="2089183649">
              <w:marLeft w:val="0"/>
              <w:marRight w:val="0"/>
              <w:marTop w:val="0"/>
              <w:marBottom w:val="0"/>
              <w:divBdr>
                <w:top w:val="none" w:sz="0" w:space="0" w:color="auto"/>
                <w:left w:val="none" w:sz="0" w:space="0" w:color="auto"/>
                <w:bottom w:val="none" w:sz="0" w:space="0" w:color="auto"/>
                <w:right w:val="none" w:sz="0" w:space="0" w:color="auto"/>
              </w:divBdr>
              <w:divsChild>
                <w:div w:id="1021711204">
                  <w:marLeft w:val="0"/>
                  <w:marRight w:val="0"/>
                  <w:marTop w:val="0"/>
                  <w:marBottom w:val="0"/>
                  <w:divBdr>
                    <w:top w:val="none" w:sz="0" w:space="0" w:color="auto"/>
                    <w:left w:val="none" w:sz="0" w:space="0" w:color="auto"/>
                    <w:bottom w:val="none" w:sz="0" w:space="0" w:color="auto"/>
                    <w:right w:val="none" w:sz="0" w:space="0" w:color="auto"/>
                  </w:divBdr>
                  <w:divsChild>
                    <w:div w:id="2125490435">
                      <w:marLeft w:val="0"/>
                      <w:marRight w:val="0"/>
                      <w:marTop w:val="0"/>
                      <w:marBottom w:val="0"/>
                      <w:divBdr>
                        <w:top w:val="none" w:sz="0" w:space="0" w:color="auto"/>
                        <w:left w:val="none" w:sz="0" w:space="0" w:color="auto"/>
                        <w:bottom w:val="none" w:sz="0" w:space="0" w:color="auto"/>
                        <w:right w:val="none" w:sz="0" w:space="0" w:color="auto"/>
                      </w:divBdr>
                      <w:divsChild>
                        <w:div w:id="659698895">
                          <w:marLeft w:val="0"/>
                          <w:marRight w:val="0"/>
                          <w:marTop w:val="0"/>
                          <w:marBottom w:val="0"/>
                          <w:divBdr>
                            <w:top w:val="none" w:sz="0" w:space="0" w:color="auto"/>
                            <w:left w:val="none" w:sz="0" w:space="0" w:color="auto"/>
                            <w:bottom w:val="none" w:sz="0" w:space="0" w:color="auto"/>
                            <w:right w:val="none" w:sz="0" w:space="0" w:color="auto"/>
                          </w:divBdr>
                          <w:divsChild>
                            <w:div w:id="505481057">
                              <w:marLeft w:val="0"/>
                              <w:marRight w:val="0"/>
                              <w:marTop w:val="0"/>
                              <w:marBottom w:val="0"/>
                              <w:divBdr>
                                <w:top w:val="none" w:sz="0" w:space="0" w:color="auto"/>
                                <w:left w:val="none" w:sz="0" w:space="0" w:color="auto"/>
                                <w:bottom w:val="none" w:sz="0" w:space="0" w:color="auto"/>
                                <w:right w:val="none" w:sz="0" w:space="0" w:color="auto"/>
                              </w:divBdr>
                              <w:divsChild>
                                <w:div w:id="1593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0808">
      <w:bodyDiv w:val="1"/>
      <w:marLeft w:val="0"/>
      <w:marRight w:val="0"/>
      <w:marTop w:val="0"/>
      <w:marBottom w:val="0"/>
      <w:divBdr>
        <w:top w:val="none" w:sz="0" w:space="0" w:color="auto"/>
        <w:left w:val="none" w:sz="0" w:space="0" w:color="auto"/>
        <w:bottom w:val="none" w:sz="0" w:space="0" w:color="auto"/>
        <w:right w:val="none" w:sz="0" w:space="0" w:color="auto"/>
      </w:divBdr>
      <w:divsChild>
        <w:div w:id="586110353">
          <w:marLeft w:val="0"/>
          <w:marRight w:val="0"/>
          <w:marTop w:val="0"/>
          <w:marBottom w:val="0"/>
          <w:divBdr>
            <w:top w:val="none" w:sz="0" w:space="0" w:color="auto"/>
            <w:left w:val="none" w:sz="0" w:space="0" w:color="auto"/>
            <w:bottom w:val="none" w:sz="0" w:space="0" w:color="auto"/>
            <w:right w:val="none" w:sz="0" w:space="0" w:color="auto"/>
          </w:divBdr>
          <w:divsChild>
            <w:div w:id="1315719197">
              <w:marLeft w:val="0"/>
              <w:marRight w:val="0"/>
              <w:marTop w:val="0"/>
              <w:marBottom w:val="0"/>
              <w:divBdr>
                <w:top w:val="none" w:sz="0" w:space="0" w:color="auto"/>
                <w:left w:val="none" w:sz="0" w:space="0" w:color="auto"/>
                <w:bottom w:val="none" w:sz="0" w:space="0" w:color="auto"/>
                <w:right w:val="none" w:sz="0" w:space="0" w:color="auto"/>
              </w:divBdr>
              <w:divsChild>
                <w:div w:id="1537886715">
                  <w:marLeft w:val="0"/>
                  <w:marRight w:val="0"/>
                  <w:marTop w:val="0"/>
                  <w:marBottom w:val="0"/>
                  <w:divBdr>
                    <w:top w:val="none" w:sz="0" w:space="0" w:color="auto"/>
                    <w:left w:val="none" w:sz="0" w:space="0" w:color="auto"/>
                    <w:bottom w:val="none" w:sz="0" w:space="0" w:color="auto"/>
                    <w:right w:val="none" w:sz="0" w:space="0" w:color="auto"/>
                  </w:divBdr>
                  <w:divsChild>
                    <w:div w:id="1547059123">
                      <w:marLeft w:val="0"/>
                      <w:marRight w:val="0"/>
                      <w:marTop w:val="0"/>
                      <w:marBottom w:val="0"/>
                      <w:divBdr>
                        <w:top w:val="none" w:sz="0" w:space="0" w:color="auto"/>
                        <w:left w:val="none" w:sz="0" w:space="0" w:color="auto"/>
                        <w:bottom w:val="none" w:sz="0" w:space="0" w:color="auto"/>
                        <w:right w:val="none" w:sz="0" w:space="0" w:color="auto"/>
                      </w:divBdr>
                      <w:divsChild>
                        <w:div w:id="18558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003348">
      <w:bodyDiv w:val="1"/>
      <w:marLeft w:val="0"/>
      <w:marRight w:val="0"/>
      <w:marTop w:val="0"/>
      <w:marBottom w:val="0"/>
      <w:divBdr>
        <w:top w:val="none" w:sz="0" w:space="0" w:color="auto"/>
        <w:left w:val="none" w:sz="0" w:space="0" w:color="auto"/>
        <w:bottom w:val="none" w:sz="0" w:space="0" w:color="auto"/>
        <w:right w:val="none" w:sz="0" w:space="0" w:color="auto"/>
      </w:divBdr>
      <w:divsChild>
        <w:div w:id="843939623">
          <w:marLeft w:val="0"/>
          <w:marRight w:val="0"/>
          <w:marTop w:val="0"/>
          <w:marBottom w:val="0"/>
          <w:divBdr>
            <w:top w:val="none" w:sz="0" w:space="0" w:color="auto"/>
            <w:left w:val="none" w:sz="0" w:space="0" w:color="auto"/>
            <w:bottom w:val="none" w:sz="0" w:space="0" w:color="auto"/>
            <w:right w:val="none" w:sz="0" w:space="0" w:color="auto"/>
          </w:divBdr>
          <w:divsChild>
            <w:div w:id="1420058365">
              <w:marLeft w:val="0"/>
              <w:marRight w:val="0"/>
              <w:marTop w:val="0"/>
              <w:marBottom w:val="0"/>
              <w:divBdr>
                <w:top w:val="none" w:sz="0" w:space="0" w:color="auto"/>
                <w:left w:val="none" w:sz="0" w:space="0" w:color="auto"/>
                <w:bottom w:val="none" w:sz="0" w:space="0" w:color="auto"/>
                <w:right w:val="none" w:sz="0" w:space="0" w:color="auto"/>
              </w:divBdr>
              <w:divsChild>
                <w:div w:id="1832213536">
                  <w:marLeft w:val="0"/>
                  <w:marRight w:val="0"/>
                  <w:marTop w:val="0"/>
                  <w:marBottom w:val="0"/>
                  <w:divBdr>
                    <w:top w:val="none" w:sz="0" w:space="0" w:color="auto"/>
                    <w:left w:val="none" w:sz="0" w:space="0" w:color="auto"/>
                    <w:bottom w:val="none" w:sz="0" w:space="0" w:color="auto"/>
                    <w:right w:val="none" w:sz="0" w:space="0" w:color="auto"/>
                  </w:divBdr>
                  <w:divsChild>
                    <w:div w:id="1141460066">
                      <w:marLeft w:val="0"/>
                      <w:marRight w:val="0"/>
                      <w:marTop w:val="0"/>
                      <w:marBottom w:val="0"/>
                      <w:divBdr>
                        <w:top w:val="none" w:sz="0" w:space="0" w:color="auto"/>
                        <w:left w:val="none" w:sz="0" w:space="0" w:color="auto"/>
                        <w:bottom w:val="none" w:sz="0" w:space="0" w:color="auto"/>
                        <w:right w:val="none" w:sz="0" w:space="0" w:color="auto"/>
                      </w:divBdr>
                      <w:divsChild>
                        <w:div w:id="3398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930168">
      <w:bodyDiv w:val="1"/>
      <w:marLeft w:val="0"/>
      <w:marRight w:val="0"/>
      <w:marTop w:val="0"/>
      <w:marBottom w:val="0"/>
      <w:divBdr>
        <w:top w:val="none" w:sz="0" w:space="0" w:color="auto"/>
        <w:left w:val="none" w:sz="0" w:space="0" w:color="auto"/>
        <w:bottom w:val="none" w:sz="0" w:space="0" w:color="auto"/>
        <w:right w:val="none" w:sz="0" w:space="0" w:color="auto"/>
      </w:divBdr>
    </w:div>
    <w:div w:id="1085687497">
      <w:bodyDiv w:val="1"/>
      <w:marLeft w:val="0"/>
      <w:marRight w:val="0"/>
      <w:marTop w:val="0"/>
      <w:marBottom w:val="0"/>
      <w:divBdr>
        <w:top w:val="none" w:sz="0" w:space="0" w:color="auto"/>
        <w:left w:val="none" w:sz="0" w:space="0" w:color="auto"/>
        <w:bottom w:val="none" w:sz="0" w:space="0" w:color="auto"/>
        <w:right w:val="none" w:sz="0" w:space="0" w:color="auto"/>
      </w:divBdr>
      <w:divsChild>
        <w:div w:id="1679381862">
          <w:marLeft w:val="0"/>
          <w:marRight w:val="0"/>
          <w:marTop w:val="0"/>
          <w:marBottom w:val="0"/>
          <w:divBdr>
            <w:top w:val="none" w:sz="0" w:space="0" w:color="auto"/>
            <w:left w:val="none" w:sz="0" w:space="0" w:color="auto"/>
            <w:bottom w:val="none" w:sz="0" w:space="0" w:color="auto"/>
            <w:right w:val="none" w:sz="0" w:space="0" w:color="auto"/>
          </w:divBdr>
          <w:divsChild>
            <w:div w:id="66000430">
              <w:marLeft w:val="0"/>
              <w:marRight w:val="0"/>
              <w:marTop w:val="0"/>
              <w:marBottom w:val="0"/>
              <w:divBdr>
                <w:top w:val="none" w:sz="0" w:space="0" w:color="auto"/>
                <w:left w:val="none" w:sz="0" w:space="0" w:color="auto"/>
                <w:bottom w:val="none" w:sz="0" w:space="0" w:color="auto"/>
                <w:right w:val="none" w:sz="0" w:space="0" w:color="auto"/>
              </w:divBdr>
              <w:divsChild>
                <w:div w:id="1776441967">
                  <w:marLeft w:val="0"/>
                  <w:marRight w:val="0"/>
                  <w:marTop w:val="0"/>
                  <w:marBottom w:val="0"/>
                  <w:divBdr>
                    <w:top w:val="none" w:sz="0" w:space="0" w:color="auto"/>
                    <w:left w:val="none" w:sz="0" w:space="0" w:color="auto"/>
                    <w:bottom w:val="none" w:sz="0" w:space="0" w:color="auto"/>
                    <w:right w:val="none" w:sz="0" w:space="0" w:color="auto"/>
                  </w:divBdr>
                  <w:divsChild>
                    <w:div w:id="905647732">
                      <w:marLeft w:val="0"/>
                      <w:marRight w:val="0"/>
                      <w:marTop w:val="0"/>
                      <w:marBottom w:val="0"/>
                      <w:divBdr>
                        <w:top w:val="none" w:sz="0" w:space="0" w:color="auto"/>
                        <w:left w:val="none" w:sz="0" w:space="0" w:color="auto"/>
                        <w:bottom w:val="none" w:sz="0" w:space="0" w:color="auto"/>
                        <w:right w:val="none" w:sz="0" w:space="0" w:color="auto"/>
                      </w:divBdr>
                      <w:divsChild>
                        <w:div w:id="384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878969">
      <w:bodyDiv w:val="1"/>
      <w:marLeft w:val="0"/>
      <w:marRight w:val="0"/>
      <w:marTop w:val="0"/>
      <w:marBottom w:val="0"/>
      <w:divBdr>
        <w:top w:val="none" w:sz="0" w:space="0" w:color="auto"/>
        <w:left w:val="none" w:sz="0" w:space="0" w:color="auto"/>
        <w:bottom w:val="none" w:sz="0" w:space="0" w:color="auto"/>
        <w:right w:val="none" w:sz="0" w:space="0" w:color="auto"/>
      </w:divBdr>
      <w:divsChild>
        <w:div w:id="814613736">
          <w:marLeft w:val="0"/>
          <w:marRight w:val="0"/>
          <w:marTop w:val="0"/>
          <w:marBottom w:val="0"/>
          <w:divBdr>
            <w:top w:val="none" w:sz="0" w:space="0" w:color="auto"/>
            <w:left w:val="none" w:sz="0" w:space="0" w:color="auto"/>
            <w:bottom w:val="none" w:sz="0" w:space="0" w:color="auto"/>
            <w:right w:val="none" w:sz="0" w:space="0" w:color="auto"/>
          </w:divBdr>
          <w:divsChild>
            <w:div w:id="489755757">
              <w:marLeft w:val="0"/>
              <w:marRight w:val="0"/>
              <w:marTop w:val="0"/>
              <w:marBottom w:val="0"/>
              <w:divBdr>
                <w:top w:val="none" w:sz="0" w:space="0" w:color="auto"/>
                <w:left w:val="none" w:sz="0" w:space="0" w:color="auto"/>
                <w:bottom w:val="none" w:sz="0" w:space="0" w:color="auto"/>
                <w:right w:val="none" w:sz="0" w:space="0" w:color="auto"/>
              </w:divBdr>
              <w:divsChild>
                <w:div w:id="842163151">
                  <w:marLeft w:val="0"/>
                  <w:marRight w:val="0"/>
                  <w:marTop w:val="0"/>
                  <w:marBottom w:val="0"/>
                  <w:divBdr>
                    <w:top w:val="none" w:sz="0" w:space="0" w:color="auto"/>
                    <w:left w:val="none" w:sz="0" w:space="0" w:color="auto"/>
                    <w:bottom w:val="none" w:sz="0" w:space="0" w:color="auto"/>
                    <w:right w:val="none" w:sz="0" w:space="0" w:color="auto"/>
                  </w:divBdr>
                  <w:divsChild>
                    <w:div w:id="92286717">
                      <w:marLeft w:val="0"/>
                      <w:marRight w:val="0"/>
                      <w:marTop w:val="0"/>
                      <w:marBottom w:val="0"/>
                      <w:divBdr>
                        <w:top w:val="none" w:sz="0" w:space="0" w:color="auto"/>
                        <w:left w:val="none" w:sz="0" w:space="0" w:color="auto"/>
                        <w:bottom w:val="none" w:sz="0" w:space="0" w:color="auto"/>
                        <w:right w:val="none" w:sz="0" w:space="0" w:color="auto"/>
                      </w:divBdr>
                      <w:divsChild>
                        <w:div w:id="4990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87333">
      <w:bodyDiv w:val="1"/>
      <w:marLeft w:val="0"/>
      <w:marRight w:val="0"/>
      <w:marTop w:val="0"/>
      <w:marBottom w:val="0"/>
      <w:divBdr>
        <w:top w:val="none" w:sz="0" w:space="0" w:color="auto"/>
        <w:left w:val="none" w:sz="0" w:space="0" w:color="auto"/>
        <w:bottom w:val="none" w:sz="0" w:space="0" w:color="auto"/>
        <w:right w:val="none" w:sz="0" w:space="0" w:color="auto"/>
      </w:divBdr>
      <w:divsChild>
        <w:div w:id="1180462750">
          <w:marLeft w:val="0"/>
          <w:marRight w:val="0"/>
          <w:marTop w:val="0"/>
          <w:marBottom w:val="0"/>
          <w:divBdr>
            <w:top w:val="none" w:sz="0" w:space="0" w:color="auto"/>
            <w:left w:val="none" w:sz="0" w:space="0" w:color="auto"/>
            <w:bottom w:val="none" w:sz="0" w:space="0" w:color="auto"/>
            <w:right w:val="none" w:sz="0" w:space="0" w:color="auto"/>
          </w:divBdr>
          <w:divsChild>
            <w:div w:id="1054083501">
              <w:marLeft w:val="0"/>
              <w:marRight w:val="0"/>
              <w:marTop w:val="0"/>
              <w:marBottom w:val="0"/>
              <w:divBdr>
                <w:top w:val="none" w:sz="0" w:space="0" w:color="auto"/>
                <w:left w:val="none" w:sz="0" w:space="0" w:color="auto"/>
                <w:bottom w:val="none" w:sz="0" w:space="0" w:color="auto"/>
                <w:right w:val="none" w:sz="0" w:space="0" w:color="auto"/>
              </w:divBdr>
              <w:divsChild>
                <w:div w:id="311914839">
                  <w:marLeft w:val="0"/>
                  <w:marRight w:val="0"/>
                  <w:marTop w:val="0"/>
                  <w:marBottom w:val="0"/>
                  <w:divBdr>
                    <w:top w:val="none" w:sz="0" w:space="0" w:color="auto"/>
                    <w:left w:val="none" w:sz="0" w:space="0" w:color="auto"/>
                    <w:bottom w:val="none" w:sz="0" w:space="0" w:color="auto"/>
                    <w:right w:val="none" w:sz="0" w:space="0" w:color="auto"/>
                  </w:divBdr>
                  <w:divsChild>
                    <w:div w:id="920989666">
                      <w:marLeft w:val="0"/>
                      <w:marRight w:val="0"/>
                      <w:marTop w:val="0"/>
                      <w:marBottom w:val="0"/>
                      <w:divBdr>
                        <w:top w:val="none" w:sz="0" w:space="0" w:color="auto"/>
                        <w:left w:val="none" w:sz="0" w:space="0" w:color="auto"/>
                        <w:bottom w:val="none" w:sz="0" w:space="0" w:color="auto"/>
                        <w:right w:val="none" w:sz="0" w:space="0" w:color="auto"/>
                      </w:divBdr>
                      <w:divsChild>
                        <w:div w:id="738211391">
                          <w:marLeft w:val="0"/>
                          <w:marRight w:val="0"/>
                          <w:marTop w:val="0"/>
                          <w:marBottom w:val="0"/>
                          <w:divBdr>
                            <w:top w:val="none" w:sz="0" w:space="0" w:color="auto"/>
                            <w:left w:val="none" w:sz="0" w:space="0" w:color="auto"/>
                            <w:bottom w:val="none" w:sz="0" w:space="0" w:color="auto"/>
                            <w:right w:val="none" w:sz="0" w:space="0" w:color="auto"/>
                          </w:divBdr>
                          <w:divsChild>
                            <w:div w:id="1174303146">
                              <w:marLeft w:val="0"/>
                              <w:marRight w:val="0"/>
                              <w:marTop w:val="0"/>
                              <w:marBottom w:val="0"/>
                              <w:divBdr>
                                <w:top w:val="none" w:sz="0" w:space="0" w:color="auto"/>
                                <w:left w:val="none" w:sz="0" w:space="0" w:color="auto"/>
                                <w:bottom w:val="none" w:sz="0" w:space="0" w:color="auto"/>
                                <w:right w:val="none" w:sz="0" w:space="0" w:color="auto"/>
                              </w:divBdr>
                              <w:divsChild>
                                <w:div w:id="9730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469002">
      <w:bodyDiv w:val="1"/>
      <w:marLeft w:val="0"/>
      <w:marRight w:val="0"/>
      <w:marTop w:val="0"/>
      <w:marBottom w:val="0"/>
      <w:divBdr>
        <w:top w:val="none" w:sz="0" w:space="0" w:color="auto"/>
        <w:left w:val="none" w:sz="0" w:space="0" w:color="auto"/>
        <w:bottom w:val="none" w:sz="0" w:space="0" w:color="auto"/>
        <w:right w:val="none" w:sz="0" w:space="0" w:color="auto"/>
      </w:divBdr>
    </w:div>
    <w:div w:id="1326859442">
      <w:bodyDiv w:val="1"/>
      <w:marLeft w:val="0"/>
      <w:marRight w:val="0"/>
      <w:marTop w:val="0"/>
      <w:marBottom w:val="0"/>
      <w:divBdr>
        <w:top w:val="none" w:sz="0" w:space="0" w:color="auto"/>
        <w:left w:val="none" w:sz="0" w:space="0" w:color="auto"/>
        <w:bottom w:val="none" w:sz="0" w:space="0" w:color="auto"/>
        <w:right w:val="none" w:sz="0" w:space="0" w:color="auto"/>
      </w:divBdr>
    </w:div>
    <w:div w:id="1477069460">
      <w:bodyDiv w:val="1"/>
      <w:marLeft w:val="0"/>
      <w:marRight w:val="0"/>
      <w:marTop w:val="0"/>
      <w:marBottom w:val="0"/>
      <w:divBdr>
        <w:top w:val="none" w:sz="0" w:space="0" w:color="auto"/>
        <w:left w:val="none" w:sz="0" w:space="0" w:color="auto"/>
        <w:bottom w:val="none" w:sz="0" w:space="0" w:color="auto"/>
        <w:right w:val="none" w:sz="0" w:space="0" w:color="auto"/>
      </w:divBdr>
      <w:divsChild>
        <w:div w:id="955797608">
          <w:marLeft w:val="0"/>
          <w:marRight w:val="0"/>
          <w:marTop w:val="0"/>
          <w:marBottom w:val="0"/>
          <w:divBdr>
            <w:top w:val="none" w:sz="0" w:space="0" w:color="auto"/>
            <w:left w:val="none" w:sz="0" w:space="0" w:color="auto"/>
            <w:bottom w:val="none" w:sz="0" w:space="0" w:color="auto"/>
            <w:right w:val="none" w:sz="0" w:space="0" w:color="auto"/>
          </w:divBdr>
          <w:divsChild>
            <w:div w:id="2037733690">
              <w:marLeft w:val="0"/>
              <w:marRight w:val="0"/>
              <w:marTop w:val="0"/>
              <w:marBottom w:val="0"/>
              <w:divBdr>
                <w:top w:val="none" w:sz="0" w:space="0" w:color="auto"/>
                <w:left w:val="none" w:sz="0" w:space="0" w:color="auto"/>
                <w:bottom w:val="none" w:sz="0" w:space="0" w:color="auto"/>
                <w:right w:val="none" w:sz="0" w:space="0" w:color="auto"/>
              </w:divBdr>
              <w:divsChild>
                <w:div w:id="1441215685">
                  <w:marLeft w:val="0"/>
                  <w:marRight w:val="0"/>
                  <w:marTop w:val="0"/>
                  <w:marBottom w:val="0"/>
                  <w:divBdr>
                    <w:top w:val="none" w:sz="0" w:space="0" w:color="auto"/>
                    <w:left w:val="none" w:sz="0" w:space="0" w:color="auto"/>
                    <w:bottom w:val="none" w:sz="0" w:space="0" w:color="auto"/>
                    <w:right w:val="none" w:sz="0" w:space="0" w:color="auto"/>
                  </w:divBdr>
                  <w:divsChild>
                    <w:div w:id="928662965">
                      <w:marLeft w:val="0"/>
                      <w:marRight w:val="0"/>
                      <w:marTop w:val="0"/>
                      <w:marBottom w:val="0"/>
                      <w:divBdr>
                        <w:top w:val="none" w:sz="0" w:space="0" w:color="auto"/>
                        <w:left w:val="none" w:sz="0" w:space="0" w:color="auto"/>
                        <w:bottom w:val="none" w:sz="0" w:space="0" w:color="auto"/>
                        <w:right w:val="none" w:sz="0" w:space="0" w:color="auto"/>
                      </w:divBdr>
                      <w:divsChild>
                        <w:div w:id="19352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5178">
      <w:bodyDiv w:val="1"/>
      <w:marLeft w:val="0"/>
      <w:marRight w:val="0"/>
      <w:marTop w:val="0"/>
      <w:marBottom w:val="0"/>
      <w:divBdr>
        <w:top w:val="none" w:sz="0" w:space="0" w:color="auto"/>
        <w:left w:val="none" w:sz="0" w:space="0" w:color="auto"/>
        <w:bottom w:val="none" w:sz="0" w:space="0" w:color="auto"/>
        <w:right w:val="none" w:sz="0" w:space="0" w:color="auto"/>
      </w:divBdr>
      <w:divsChild>
        <w:div w:id="1090081820">
          <w:marLeft w:val="0"/>
          <w:marRight w:val="0"/>
          <w:marTop w:val="0"/>
          <w:marBottom w:val="0"/>
          <w:divBdr>
            <w:top w:val="none" w:sz="0" w:space="0" w:color="auto"/>
            <w:left w:val="none" w:sz="0" w:space="0" w:color="auto"/>
            <w:bottom w:val="none" w:sz="0" w:space="0" w:color="auto"/>
            <w:right w:val="none" w:sz="0" w:space="0" w:color="auto"/>
          </w:divBdr>
          <w:divsChild>
            <w:div w:id="827788003">
              <w:marLeft w:val="0"/>
              <w:marRight w:val="0"/>
              <w:marTop w:val="0"/>
              <w:marBottom w:val="0"/>
              <w:divBdr>
                <w:top w:val="none" w:sz="0" w:space="0" w:color="auto"/>
                <w:left w:val="none" w:sz="0" w:space="0" w:color="auto"/>
                <w:bottom w:val="none" w:sz="0" w:space="0" w:color="auto"/>
                <w:right w:val="none" w:sz="0" w:space="0" w:color="auto"/>
              </w:divBdr>
              <w:divsChild>
                <w:div w:id="2013218575">
                  <w:marLeft w:val="0"/>
                  <w:marRight w:val="0"/>
                  <w:marTop w:val="0"/>
                  <w:marBottom w:val="0"/>
                  <w:divBdr>
                    <w:top w:val="none" w:sz="0" w:space="0" w:color="auto"/>
                    <w:left w:val="none" w:sz="0" w:space="0" w:color="auto"/>
                    <w:bottom w:val="none" w:sz="0" w:space="0" w:color="auto"/>
                    <w:right w:val="none" w:sz="0" w:space="0" w:color="auto"/>
                  </w:divBdr>
                  <w:divsChild>
                    <w:div w:id="2007128574">
                      <w:marLeft w:val="0"/>
                      <w:marRight w:val="0"/>
                      <w:marTop w:val="0"/>
                      <w:marBottom w:val="0"/>
                      <w:divBdr>
                        <w:top w:val="none" w:sz="0" w:space="0" w:color="auto"/>
                        <w:left w:val="none" w:sz="0" w:space="0" w:color="auto"/>
                        <w:bottom w:val="none" w:sz="0" w:space="0" w:color="auto"/>
                        <w:right w:val="none" w:sz="0" w:space="0" w:color="auto"/>
                      </w:divBdr>
                      <w:divsChild>
                        <w:div w:id="1636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551058">
      <w:bodyDiv w:val="1"/>
      <w:marLeft w:val="0"/>
      <w:marRight w:val="0"/>
      <w:marTop w:val="0"/>
      <w:marBottom w:val="0"/>
      <w:divBdr>
        <w:top w:val="none" w:sz="0" w:space="0" w:color="auto"/>
        <w:left w:val="none" w:sz="0" w:space="0" w:color="auto"/>
        <w:bottom w:val="none" w:sz="0" w:space="0" w:color="auto"/>
        <w:right w:val="none" w:sz="0" w:space="0" w:color="auto"/>
      </w:divBdr>
      <w:divsChild>
        <w:div w:id="1979726808">
          <w:marLeft w:val="0"/>
          <w:marRight w:val="0"/>
          <w:marTop w:val="0"/>
          <w:marBottom w:val="0"/>
          <w:divBdr>
            <w:top w:val="none" w:sz="0" w:space="0" w:color="auto"/>
            <w:left w:val="none" w:sz="0" w:space="0" w:color="auto"/>
            <w:bottom w:val="none" w:sz="0" w:space="0" w:color="auto"/>
            <w:right w:val="none" w:sz="0" w:space="0" w:color="auto"/>
          </w:divBdr>
          <w:divsChild>
            <w:div w:id="522520363">
              <w:marLeft w:val="0"/>
              <w:marRight w:val="0"/>
              <w:marTop w:val="0"/>
              <w:marBottom w:val="0"/>
              <w:divBdr>
                <w:top w:val="none" w:sz="0" w:space="0" w:color="auto"/>
                <w:left w:val="none" w:sz="0" w:space="0" w:color="auto"/>
                <w:bottom w:val="none" w:sz="0" w:space="0" w:color="auto"/>
                <w:right w:val="none" w:sz="0" w:space="0" w:color="auto"/>
              </w:divBdr>
              <w:divsChild>
                <w:div w:id="1070150393">
                  <w:marLeft w:val="0"/>
                  <w:marRight w:val="0"/>
                  <w:marTop w:val="0"/>
                  <w:marBottom w:val="0"/>
                  <w:divBdr>
                    <w:top w:val="none" w:sz="0" w:space="0" w:color="auto"/>
                    <w:left w:val="none" w:sz="0" w:space="0" w:color="auto"/>
                    <w:bottom w:val="none" w:sz="0" w:space="0" w:color="auto"/>
                    <w:right w:val="none" w:sz="0" w:space="0" w:color="auto"/>
                  </w:divBdr>
                  <w:divsChild>
                    <w:div w:id="445082383">
                      <w:marLeft w:val="0"/>
                      <w:marRight w:val="0"/>
                      <w:marTop w:val="0"/>
                      <w:marBottom w:val="0"/>
                      <w:divBdr>
                        <w:top w:val="none" w:sz="0" w:space="0" w:color="auto"/>
                        <w:left w:val="none" w:sz="0" w:space="0" w:color="auto"/>
                        <w:bottom w:val="none" w:sz="0" w:space="0" w:color="auto"/>
                        <w:right w:val="none" w:sz="0" w:space="0" w:color="auto"/>
                      </w:divBdr>
                      <w:divsChild>
                        <w:div w:id="14931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693837">
      <w:bodyDiv w:val="1"/>
      <w:marLeft w:val="0"/>
      <w:marRight w:val="0"/>
      <w:marTop w:val="0"/>
      <w:marBottom w:val="0"/>
      <w:divBdr>
        <w:top w:val="none" w:sz="0" w:space="0" w:color="auto"/>
        <w:left w:val="none" w:sz="0" w:space="0" w:color="auto"/>
        <w:bottom w:val="none" w:sz="0" w:space="0" w:color="auto"/>
        <w:right w:val="none" w:sz="0" w:space="0" w:color="auto"/>
      </w:divBdr>
      <w:divsChild>
        <w:div w:id="1227646342">
          <w:marLeft w:val="0"/>
          <w:marRight w:val="0"/>
          <w:marTop w:val="0"/>
          <w:marBottom w:val="0"/>
          <w:divBdr>
            <w:top w:val="none" w:sz="0" w:space="0" w:color="auto"/>
            <w:left w:val="none" w:sz="0" w:space="0" w:color="auto"/>
            <w:bottom w:val="none" w:sz="0" w:space="0" w:color="auto"/>
            <w:right w:val="none" w:sz="0" w:space="0" w:color="auto"/>
          </w:divBdr>
          <w:divsChild>
            <w:div w:id="54354893">
              <w:marLeft w:val="0"/>
              <w:marRight w:val="0"/>
              <w:marTop w:val="0"/>
              <w:marBottom w:val="0"/>
              <w:divBdr>
                <w:top w:val="none" w:sz="0" w:space="0" w:color="auto"/>
                <w:left w:val="none" w:sz="0" w:space="0" w:color="auto"/>
                <w:bottom w:val="none" w:sz="0" w:space="0" w:color="auto"/>
                <w:right w:val="none" w:sz="0" w:space="0" w:color="auto"/>
              </w:divBdr>
              <w:divsChild>
                <w:div w:id="973095630">
                  <w:marLeft w:val="0"/>
                  <w:marRight w:val="0"/>
                  <w:marTop w:val="0"/>
                  <w:marBottom w:val="0"/>
                  <w:divBdr>
                    <w:top w:val="none" w:sz="0" w:space="0" w:color="auto"/>
                    <w:left w:val="none" w:sz="0" w:space="0" w:color="auto"/>
                    <w:bottom w:val="none" w:sz="0" w:space="0" w:color="auto"/>
                    <w:right w:val="none" w:sz="0" w:space="0" w:color="auto"/>
                  </w:divBdr>
                  <w:divsChild>
                    <w:div w:id="1216773811">
                      <w:marLeft w:val="0"/>
                      <w:marRight w:val="0"/>
                      <w:marTop w:val="0"/>
                      <w:marBottom w:val="0"/>
                      <w:divBdr>
                        <w:top w:val="none" w:sz="0" w:space="0" w:color="auto"/>
                        <w:left w:val="none" w:sz="0" w:space="0" w:color="auto"/>
                        <w:bottom w:val="none" w:sz="0" w:space="0" w:color="auto"/>
                        <w:right w:val="none" w:sz="0" w:space="0" w:color="auto"/>
                      </w:divBdr>
                      <w:divsChild>
                        <w:div w:id="11438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WjwxU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roads-council-will-grit"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statistics/reported-road-casualties-great-britain-pedal-cyclist-factsheet-2020/reported-road-casualties-in-great-britain-pedal-cycle-factsheet-2020" TargetMode="External"/><Relationship Id="rId13" Type="http://schemas.openxmlformats.org/officeDocument/2006/relationships/hyperlink" Target="https://www.sustrans.org.uk/our-blog/opinion/2018/november/ice-major-cause-of-cycling-accidentsand-what-can-be-done-about-it/" TargetMode="External"/><Relationship Id="rId3" Type="http://schemas.openxmlformats.org/officeDocument/2006/relationships/hyperlink" Target="https://files.digital.nhs.uk/38/00015E/hosp-epis-stat-admi-ext-cau-2020-21-tab.xlsx" TargetMode="External"/><Relationship Id="rId7" Type="http://schemas.openxmlformats.org/officeDocument/2006/relationships/hyperlink" Target="https://www.gov.uk/government/statistical-data-sets/ras30-reported-casualties-in-road-accidents" TargetMode="External"/><Relationship Id="rId12" Type="http://schemas.openxmlformats.org/officeDocument/2006/relationships/hyperlink" Target="https://icycleweather.wixsite.com/iceandcycling/5-2-1-1" TargetMode="External"/><Relationship Id="rId2" Type="http://schemas.openxmlformats.org/officeDocument/2006/relationships/hyperlink" Target="https://www.gov.uk/government/statistical-data-sets/ras30-reported-casualties-in-road-accidents" TargetMode="External"/><Relationship Id="rId1" Type="http://schemas.openxmlformats.org/officeDocument/2006/relationships/hyperlink" Target="https://www.gov.uk/government/statistical-data-sets/ras30-reported-casualties-in-road-accidents" TargetMode="External"/><Relationship Id="rId6" Type="http://schemas.openxmlformats.org/officeDocument/2006/relationships/hyperlink" Target="https://www.gov.uk/government/statistics/reported-road-casualties-great-britain-pedal-cyclist-factsheet-2020/reported-road-casualties-in-great-britain-pedal-cycle-factsheet-2020" TargetMode="External"/><Relationship Id="rId11" Type="http://schemas.openxmlformats.org/officeDocument/2006/relationships/hyperlink" Target="http://content.tfl.gov.uk/london-freight-data-report-2014.pdf" TargetMode="External"/><Relationship Id="rId5" Type="http://schemas.openxmlformats.org/officeDocument/2006/relationships/hyperlink" Target="https://www.gov.uk/government/statistical-data-sets/ras30-reported-casualties-in-road-accidents" TargetMode="External"/><Relationship Id="rId10" Type="http://schemas.openxmlformats.org/officeDocument/2006/relationships/hyperlink" Target="https://www.gov.uk/government/statistical-data-sets/ras50-contributory-factors" TargetMode="External"/><Relationship Id="rId4" Type="http://schemas.openxmlformats.org/officeDocument/2006/relationships/hyperlink" Target="https://www.gov.uk/government/statistical-data-sets/ras30-reported-casualties-in-road-accidents" TargetMode="External"/><Relationship Id="rId9" Type="http://schemas.openxmlformats.org/officeDocument/2006/relationships/hyperlink" Target="https://assets.publishing.service.gov.uk/government/uploads/system/uploads/attachment_data/file/447674/pedal-cyclists-2013-data.pdf" TargetMode="External"/><Relationship Id="rId14" Type="http://schemas.openxmlformats.org/officeDocument/2006/relationships/hyperlink" Target="https://www.rospa.com/rospaweb/docs/advice-services/public-health/rs3-non-collision-casestudy-edition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D1500-4A05-4CA4-8D5E-E3354BEF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Cycling Accidents Factsheet</vt:lpstr>
    </vt:vector>
  </TitlesOfParts>
  <Company>RoSPA</Company>
  <LinksUpToDate>false</LinksUpToDate>
  <CharactersWithSpaces>8560</CharactersWithSpaces>
  <SharedDoc>false</SharedDoc>
  <HLinks>
    <vt:vector size="84" baseType="variant">
      <vt:variant>
        <vt:i4>2818147</vt:i4>
      </vt:variant>
      <vt:variant>
        <vt:i4>9</vt:i4>
      </vt:variant>
      <vt:variant>
        <vt:i4>0</vt:i4>
      </vt:variant>
      <vt:variant>
        <vt:i4>5</vt:i4>
      </vt:variant>
      <vt:variant>
        <vt:lpwstr>https://www.gov.uk/roads-council-will-grit</vt:lpwstr>
      </vt:variant>
      <vt:variant>
        <vt:lpwstr/>
      </vt:variant>
      <vt:variant>
        <vt:i4>6357088</vt:i4>
      </vt:variant>
      <vt:variant>
        <vt:i4>6</vt:i4>
      </vt:variant>
      <vt:variant>
        <vt:i4>0</vt:i4>
      </vt:variant>
      <vt:variant>
        <vt:i4>5</vt:i4>
      </vt:variant>
      <vt:variant>
        <vt:lpwstr>https://bit.ly/2WjwxUn</vt:lpwstr>
      </vt:variant>
      <vt:variant>
        <vt:lpwstr/>
      </vt:variant>
      <vt:variant>
        <vt:i4>3473531</vt:i4>
      </vt:variant>
      <vt:variant>
        <vt:i4>33</vt:i4>
      </vt:variant>
      <vt:variant>
        <vt:i4>0</vt:i4>
      </vt:variant>
      <vt:variant>
        <vt:i4>5</vt:i4>
      </vt:variant>
      <vt:variant>
        <vt:lpwstr>https://www.rospa.com/rospaweb/docs/advice-services/public-health/rs3-non-collision-casestudy-edition2.pdf</vt:lpwstr>
      </vt:variant>
      <vt:variant>
        <vt:lpwstr/>
      </vt:variant>
      <vt:variant>
        <vt:i4>1441878</vt:i4>
      </vt:variant>
      <vt:variant>
        <vt:i4>30</vt:i4>
      </vt:variant>
      <vt:variant>
        <vt:i4>0</vt:i4>
      </vt:variant>
      <vt:variant>
        <vt:i4>5</vt:i4>
      </vt:variant>
      <vt:variant>
        <vt:lpwstr>https://www.sustrans.org.uk/our-blog/opinion/2018/november/ice-major-cause-of-cycling-accidentsand-what-can-be-done-about-it/</vt:lpwstr>
      </vt:variant>
      <vt:variant>
        <vt:lpwstr/>
      </vt:variant>
      <vt:variant>
        <vt:i4>3211367</vt:i4>
      </vt:variant>
      <vt:variant>
        <vt:i4>27</vt:i4>
      </vt:variant>
      <vt:variant>
        <vt:i4>0</vt:i4>
      </vt:variant>
      <vt:variant>
        <vt:i4>5</vt:i4>
      </vt:variant>
      <vt:variant>
        <vt:lpwstr>https://icycleweather.wixsite.com/iceandcycling/5-2-1-1</vt:lpwstr>
      </vt:variant>
      <vt:variant>
        <vt:lpwstr/>
      </vt:variant>
      <vt:variant>
        <vt:i4>1769479</vt:i4>
      </vt:variant>
      <vt:variant>
        <vt:i4>24</vt:i4>
      </vt:variant>
      <vt:variant>
        <vt:i4>0</vt:i4>
      </vt:variant>
      <vt:variant>
        <vt:i4>5</vt:i4>
      </vt:variant>
      <vt:variant>
        <vt:lpwstr>http://content.tfl.gov.uk/london-freight-data-report-2014.pdf</vt:lpwstr>
      </vt:variant>
      <vt:variant>
        <vt:lpwstr/>
      </vt:variant>
      <vt:variant>
        <vt:i4>2228277</vt:i4>
      </vt:variant>
      <vt:variant>
        <vt:i4>21</vt:i4>
      </vt:variant>
      <vt:variant>
        <vt:i4>0</vt:i4>
      </vt:variant>
      <vt:variant>
        <vt:i4>5</vt:i4>
      </vt:variant>
      <vt:variant>
        <vt:lpwstr>https://www.gov.uk/government/statistical-data-sets/ras50-contributory-factors</vt:lpwstr>
      </vt:variant>
      <vt:variant>
        <vt:lpwstr/>
      </vt:variant>
      <vt:variant>
        <vt:i4>5373967</vt:i4>
      </vt:variant>
      <vt:variant>
        <vt:i4>18</vt:i4>
      </vt:variant>
      <vt:variant>
        <vt:i4>0</vt:i4>
      </vt:variant>
      <vt:variant>
        <vt:i4>5</vt:i4>
      </vt:variant>
      <vt:variant>
        <vt:lpwstr>http://www.trl.co.uk/online_store/reports_publications/trl_reports/cat_road_user_safety/report_collisions_inv olving_pedal_cyclists_on_britain_s_roads_establishing_the_causes_.htm</vt:lpwstr>
      </vt:variant>
      <vt:variant>
        <vt:lpwstr/>
      </vt:variant>
      <vt:variant>
        <vt:i4>3145849</vt:i4>
      </vt:variant>
      <vt:variant>
        <vt:i4>15</vt:i4>
      </vt:variant>
      <vt:variant>
        <vt:i4>0</vt:i4>
      </vt:variant>
      <vt:variant>
        <vt:i4>5</vt:i4>
      </vt:variant>
      <vt:variant>
        <vt:lpwstr>https://www.gov.uk/government/statistical-data-sets/ras30-reported-casualties-in-road-accidents</vt:lpwstr>
      </vt:variant>
      <vt:variant>
        <vt:lpwstr/>
      </vt:variant>
      <vt:variant>
        <vt:i4>3145849</vt:i4>
      </vt:variant>
      <vt:variant>
        <vt:i4>12</vt:i4>
      </vt:variant>
      <vt:variant>
        <vt:i4>0</vt:i4>
      </vt:variant>
      <vt:variant>
        <vt:i4>5</vt:i4>
      </vt:variant>
      <vt:variant>
        <vt:lpwstr>https://www.gov.uk/government/statistical-data-sets/ras30-reported-casualties-in-road-accidents</vt:lpwstr>
      </vt:variant>
      <vt:variant>
        <vt:lpwstr/>
      </vt:variant>
      <vt:variant>
        <vt:i4>3145849</vt:i4>
      </vt:variant>
      <vt:variant>
        <vt:i4>9</vt:i4>
      </vt:variant>
      <vt:variant>
        <vt:i4>0</vt:i4>
      </vt:variant>
      <vt:variant>
        <vt:i4>5</vt:i4>
      </vt:variant>
      <vt:variant>
        <vt:lpwstr>https://www.gov.uk/government/statistical-data-sets/ras30-reported-casualties-in-road-accidents</vt:lpwstr>
      </vt:variant>
      <vt:variant>
        <vt:lpwstr/>
      </vt:variant>
      <vt:variant>
        <vt:i4>2228343</vt:i4>
      </vt:variant>
      <vt:variant>
        <vt:i4>6</vt:i4>
      </vt:variant>
      <vt:variant>
        <vt:i4>0</vt:i4>
      </vt:variant>
      <vt:variant>
        <vt:i4>5</vt:i4>
      </vt:variant>
      <vt:variant>
        <vt:lpwstr>https://files.digital.nhs.uk/publication/7/5/hosp-epis-stat-admi-ext-caus-2016-17-tab.xlsx</vt:lpwstr>
      </vt:variant>
      <vt:variant>
        <vt:lpwstr/>
      </vt:variant>
      <vt:variant>
        <vt:i4>3145849</vt:i4>
      </vt:variant>
      <vt:variant>
        <vt:i4>3</vt:i4>
      </vt:variant>
      <vt:variant>
        <vt:i4>0</vt:i4>
      </vt:variant>
      <vt:variant>
        <vt:i4>5</vt:i4>
      </vt:variant>
      <vt:variant>
        <vt:lpwstr>https://www.gov.uk/government/statistical-data-sets/ras30-reported-casualties-in-road-accidents</vt:lpwstr>
      </vt:variant>
      <vt:variant>
        <vt:lpwstr/>
      </vt:variant>
      <vt:variant>
        <vt:i4>3145849</vt:i4>
      </vt:variant>
      <vt:variant>
        <vt:i4>0</vt:i4>
      </vt:variant>
      <vt:variant>
        <vt:i4>0</vt:i4>
      </vt:variant>
      <vt:variant>
        <vt:i4>5</vt:i4>
      </vt:variant>
      <vt:variant>
        <vt:lpwstr>https://www.gov.uk/government/statistical-data-sets/ras30-reported-casualties-in-road-accidents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Cycling Accidents Factsheet</dc:title>
  <dc:subject>Cycling Accidents Factsheet</dc:subject>
  <dc:creator>RoSPA</dc:creator>
  <cp:keywords>Cycling Accidents Factsheet</cp:keywords>
  <dc:description>Cycling Accidents Factsheet</dc:description>
  <cp:lastModifiedBy>Rebecca Guy</cp:lastModifiedBy>
  <cp:revision>2</cp:revision>
  <cp:lastPrinted>2021-11-25T10:11:00Z</cp:lastPrinted>
  <dcterms:created xsi:type="dcterms:W3CDTF">2022-08-02T09:32:00Z</dcterms:created>
  <dcterms:modified xsi:type="dcterms:W3CDTF">2022-08-02T09:32:00Z</dcterms:modified>
  <cp:category>Cycling Accidents Factsheet</cp:category>
</cp:coreProperties>
</file>